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2F40E">
      <w:pPr>
        <w:ind w:firstLine="960"/>
        <w:rPr>
          <w:rFonts w:ascii="微软雅黑" w:hAnsi="宋体" w:eastAsia="微软雅黑"/>
          <w:b/>
          <w:color w:val="0000FF"/>
          <w:sz w:val="48"/>
          <w:szCs w:val="48"/>
        </w:rPr>
      </w:pPr>
      <w:bookmarkStart w:id="0" w:name="_Toc83803051"/>
      <w:bookmarkStart w:id="1" w:name="_Toc83802957"/>
    </w:p>
    <w:p w14:paraId="07F563D8">
      <w:pPr>
        <w:ind w:firstLine="960"/>
        <w:rPr>
          <w:rFonts w:ascii="微软雅黑" w:hAnsi="宋体" w:eastAsia="微软雅黑"/>
          <w:b/>
          <w:color w:val="0000FF"/>
          <w:sz w:val="48"/>
          <w:szCs w:val="48"/>
        </w:rPr>
      </w:pPr>
    </w:p>
    <w:p w14:paraId="2864C2FD">
      <w:pPr>
        <w:ind w:firstLine="640"/>
        <w:rPr>
          <w:rFonts w:ascii="微软雅黑" w:hAnsi="宋体" w:eastAsia="微软雅黑"/>
          <w:b/>
          <w:color w:val="0000FF"/>
          <w:sz w:val="48"/>
          <w:szCs w:val="48"/>
        </w:rPr>
      </w:pPr>
      <w:r>
        <w:rPr>
          <w:color w:val="000000"/>
          <w:sz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166360"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13"/>
                    <a:stretch>
                      <a:fillRect/>
                    </a:stretch>
                  </pic:blipFill>
                  <pic:spPr>
                    <a:xfrm>
                      <a:off x="0" y="0"/>
                      <a:ext cx="5166360" cy="1417320"/>
                    </a:xfrm>
                    <a:prstGeom prst="rect">
                      <a:avLst/>
                    </a:prstGeom>
                  </pic:spPr>
                </pic:pic>
              </a:graphicData>
            </a:graphic>
          </wp:anchor>
        </w:drawing>
      </w:r>
    </w:p>
    <w:p w14:paraId="4C15AFB0">
      <w:pPr>
        <w:ind w:firstLine="960"/>
        <w:jc w:val="center"/>
        <w:rPr>
          <w:rFonts w:ascii="微软雅黑" w:hAnsi="宋体" w:eastAsia="微软雅黑"/>
          <w:b/>
          <w:color w:val="0000FF"/>
          <w:sz w:val="48"/>
          <w:szCs w:val="48"/>
        </w:rPr>
      </w:pPr>
    </w:p>
    <w:p w14:paraId="63F3D687">
      <w:pPr>
        <w:ind w:firstLine="960"/>
        <w:jc w:val="center"/>
        <w:rPr>
          <w:rFonts w:ascii="微软雅黑" w:hAnsi="宋体" w:eastAsia="微软雅黑"/>
          <w:b/>
          <w:color w:val="0000FF"/>
          <w:sz w:val="48"/>
          <w:szCs w:val="48"/>
        </w:rPr>
      </w:pPr>
    </w:p>
    <w:p w14:paraId="2A081386">
      <w:pPr>
        <w:pStyle w:val="39"/>
        <w:ind w:firstLine="1205"/>
        <w:rPr>
          <w:b/>
        </w:rPr>
      </w:pPr>
    </w:p>
    <w:p w14:paraId="6E224A3F">
      <w:pPr>
        <w:spacing w:line="276" w:lineRule="auto"/>
        <w:ind w:left="480" w:firstLine="0" w:firstLineChars="0"/>
        <w:jc w:val="center"/>
        <w:rPr>
          <w:rFonts w:ascii="方正小标宋简体" w:eastAsia="方正小标宋简体"/>
          <w:sz w:val="60"/>
          <w:szCs w:val="60"/>
        </w:rPr>
      </w:pPr>
      <w:r>
        <w:rPr>
          <w:rFonts w:hint="eastAsia" w:ascii="方正小标宋简体" w:eastAsia="方正小标宋简体"/>
          <w:sz w:val="60"/>
          <w:szCs w:val="60"/>
        </w:rPr>
        <w:t>计算机平面设计</w:t>
      </w:r>
    </w:p>
    <w:p w14:paraId="51A30443">
      <w:pPr>
        <w:spacing w:line="276" w:lineRule="auto"/>
        <w:ind w:left="480" w:firstLine="0" w:firstLineChars="0"/>
        <w:jc w:val="center"/>
        <w:rPr>
          <w:rFonts w:ascii="方正小标宋简体" w:eastAsia="方正小标宋简体"/>
          <w:sz w:val="60"/>
          <w:szCs w:val="60"/>
        </w:rPr>
      </w:pPr>
      <w:r>
        <w:rPr>
          <w:rFonts w:hint="eastAsia" w:ascii="方正小标宋简体" w:eastAsia="方正小标宋简体"/>
          <w:sz w:val="60"/>
          <w:szCs w:val="60"/>
        </w:rPr>
        <w:t>2025级人才培养方案</w:t>
      </w:r>
    </w:p>
    <w:p w14:paraId="5899411E">
      <w:pPr>
        <w:spacing w:line="276" w:lineRule="auto"/>
        <w:ind w:left="480" w:firstLine="0" w:firstLineChars="0"/>
        <w:jc w:val="center"/>
        <w:rPr>
          <w:rFonts w:ascii="方正小标宋简体" w:eastAsia="方正小标宋简体"/>
          <w:sz w:val="60"/>
          <w:szCs w:val="60"/>
        </w:rPr>
      </w:pPr>
    </w:p>
    <w:p w14:paraId="2FE00018">
      <w:pPr>
        <w:ind w:firstLine="720"/>
        <w:jc w:val="center"/>
        <w:rPr>
          <w:sz w:val="36"/>
        </w:rPr>
      </w:pPr>
    </w:p>
    <w:p w14:paraId="632730A6">
      <w:pPr>
        <w:ind w:firstLine="720"/>
        <w:jc w:val="center"/>
        <w:rPr>
          <w:sz w:val="36"/>
        </w:rPr>
      </w:pPr>
    </w:p>
    <w:p w14:paraId="427489DF">
      <w:pPr>
        <w:ind w:left="0" w:leftChars="0" w:firstLine="0" w:firstLineChars="0"/>
        <w:jc w:val="both"/>
      </w:pPr>
    </w:p>
    <w:p w14:paraId="00ACA47F">
      <w:pPr>
        <w:keepNext w:val="0"/>
        <w:keepLines w:val="0"/>
        <w:pageBreakBefore w:val="0"/>
        <w:widowControl w:val="0"/>
        <w:kinsoku/>
        <w:wordWrap/>
        <w:overflowPunct/>
        <w:topLinePunct w:val="0"/>
        <w:autoSpaceDE/>
        <w:autoSpaceDN/>
        <w:bidi w:val="0"/>
        <w:adjustRightInd/>
        <w:snapToGrid/>
        <w:spacing w:line="540" w:lineRule="exact"/>
        <w:ind w:firstLine="1080" w:firstLineChars="300"/>
        <w:jc w:val="left"/>
        <w:textAlignment w:val="auto"/>
        <w:rPr>
          <w:rFonts w:hint="default" w:ascii="仿宋" w:hAnsi="仿宋" w:eastAsia="仿宋" w:cs="宋体"/>
          <w:sz w:val="36"/>
          <w:szCs w:val="36"/>
          <w:lang w:val="en-US" w:eastAsia="zh-CN"/>
        </w:rPr>
      </w:pPr>
      <w:r>
        <w:rPr>
          <w:rFonts w:hint="eastAsia" w:ascii="仿宋" w:hAnsi="仿宋" w:eastAsia="仿宋" w:cs="宋体"/>
          <w:sz w:val="36"/>
          <w:szCs w:val="36"/>
        </w:rPr>
        <w:t>专业类别：电子与信息大类</w:t>
      </w:r>
      <w:r>
        <w:rPr>
          <w:rFonts w:hint="eastAsia" w:ascii="仿宋" w:hAnsi="仿宋" w:eastAsia="仿宋" w:cs="宋体"/>
          <w:sz w:val="36"/>
          <w:szCs w:val="36"/>
          <w:lang w:val="en-US" w:eastAsia="zh-CN"/>
        </w:rPr>
        <w:t>计算机类</w:t>
      </w:r>
    </w:p>
    <w:p w14:paraId="6E24B441">
      <w:pPr>
        <w:keepNext w:val="0"/>
        <w:keepLines w:val="0"/>
        <w:pageBreakBefore w:val="0"/>
        <w:widowControl w:val="0"/>
        <w:kinsoku/>
        <w:wordWrap/>
        <w:overflowPunct/>
        <w:topLinePunct w:val="0"/>
        <w:autoSpaceDE/>
        <w:autoSpaceDN/>
        <w:bidi w:val="0"/>
        <w:adjustRightInd/>
        <w:snapToGrid/>
        <w:spacing w:line="540" w:lineRule="exact"/>
        <w:ind w:left="0" w:leftChars="0" w:firstLine="1080" w:firstLineChars="300"/>
        <w:jc w:val="left"/>
        <w:textAlignment w:val="auto"/>
        <w:rPr>
          <w:rFonts w:hint="default" w:ascii="仿宋" w:hAnsi="仿宋" w:eastAsia="仿宋" w:cs="宋体"/>
          <w:sz w:val="36"/>
          <w:szCs w:val="36"/>
          <w:lang w:val="en-US" w:eastAsia="zh-CN"/>
        </w:rPr>
      </w:pPr>
      <w:r>
        <w:rPr>
          <w:rFonts w:hint="eastAsia" w:ascii="仿宋" w:hAnsi="仿宋" w:eastAsia="仿宋" w:cs="宋体"/>
          <w:sz w:val="36"/>
          <w:szCs w:val="36"/>
        </w:rPr>
        <w:t>专业代码：710210</w:t>
      </w:r>
    </w:p>
    <w:p w14:paraId="6970A9E6">
      <w:pPr>
        <w:keepNext w:val="0"/>
        <w:keepLines w:val="0"/>
        <w:pageBreakBefore w:val="0"/>
        <w:widowControl w:val="0"/>
        <w:kinsoku/>
        <w:wordWrap/>
        <w:overflowPunct/>
        <w:topLinePunct w:val="0"/>
        <w:autoSpaceDE/>
        <w:autoSpaceDN/>
        <w:bidi w:val="0"/>
        <w:adjustRightInd/>
        <w:snapToGrid/>
        <w:spacing w:line="540" w:lineRule="exact"/>
        <w:ind w:firstLine="1080" w:firstLineChars="300"/>
        <w:jc w:val="left"/>
        <w:textAlignment w:val="auto"/>
        <w:rPr>
          <w:rFonts w:hint="eastAsia" w:ascii="仿宋" w:hAnsi="仿宋" w:eastAsia="仿宋" w:cs="宋体"/>
          <w:sz w:val="36"/>
          <w:szCs w:val="36"/>
        </w:rPr>
      </w:pPr>
      <w:r>
        <w:rPr>
          <w:rFonts w:hint="eastAsia" w:ascii="仿宋" w:hAnsi="仿宋" w:eastAsia="仿宋" w:cs="宋体"/>
          <w:sz w:val="36"/>
          <w:szCs w:val="36"/>
        </w:rPr>
        <w:t>适用级别：2025级学生</w:t>
      </w:r>
    </w:p>
    <w:p w14:paraId="2232C468">
      <w:pPr>
        <w:keepNext w:val="0"/>
        <w:keepLines w:val="0"/>
        <w:pageBreakBefore w:val="0"/>
        <w:widowControl w:val="0"/>
        <w:kinsoku/>
        <w:wordWrap/>
        <w:overflowPunct/>
        <w:topLinePunct w:val="0"/>
        <w:autoSpaceDE/>
        <w:autoSpaceDN/>
        <w:bidi w:val="0"/>
        <w:adjustRightInd/>
        <w:snapToGrid/>
        <w:spacing w:line="540" w:lineRule="exact"/>
        <w:ind w:firstLine="1080" w:firstLineChars="300"/>
        <w:jc w:val="left"/>
        <w:textAlignment w:val="auto"/>
        <w:rPr>
          <w:rFonts w:hint="eastAsia" w:ascii="仿宋" w:hAnsi="仿宋" w:eastAsia="仿宋" w:cs="宋体"/>
          <w:sz w:val="36"/>
          <w:szCs w:val="36"/>
        </w:rPr>
      </w:pPr>
      <w:r>
        <w:rPr>
          <w:rFonts w:hint="eastAsia" w:ascii="仿宋" w:hAnsi="仿宋" w:eastAsia="仿宋" w:cs="宋体"/>
          <w:sz w:val="36"/>
          <w:szCs w:val="36"/>
        </w:rPr>
        <w:t>修订时间：2025年09月</w:t>
      </w:r>
    </w:p>
    <w:p w14:paraId="7C26CD45">
      <w:pPr>
        <w:ind w:firstLine="1080" w:firstLineChars="300"/>
        <w:jc w:val="both"/>
        <w:rPr>
          <w:rFonts w:hint="eastAsia" w:ascii="仿宋" w:hAnsi="仿宋" w:eastAsia="仿宋" w:cs="宋体"/>
          <w:sz w:val="36"/>
          <w:szCs w:val="36"/>
        </w:rPr>
      </w:pPr>
      <w:bookmarkStart w:id="79" w:name="_GoBack"/>
      <w:bookmarkEnd w:id="79"/>
      <w:r>
        <w:rPr>
          <w:rFonts w:hint="eastAsia" w:ascii="仿宋" w:hAnsi="仿宋" w:eastAsia="仿宋" w:cs="宋体"/>
          <w:sz w:val="36"/>
          <w:szCs w:val="36"/>
          <w:lang w:val="en-US" w:eastAsia="zh-CN"/>
        </w:rPr>
        <w:t>编制部门</w:t>
      </w:r>
      <w:r>
        <w:rPr>
          <w:rFonts w:hint="eastAsia" w:ascii="仿宋" w:hAnsi="仿宋" w:eastAsia="仿宋" w:cs="宋体"/>
          <w:sz w:val="36"/>
          <w:szCs w:val="36"/>
        </w:rPr>
        <w:t>：艺术设计专业部</w:t>
      </w:r>
    </w:p>
    <w:p w14:paraId="18A8D35A">
      <w:pPr>
        <w:ind w:firstLine="1134" w:firstLineChars="315"/>
        <w:jc w:val="center"/>
        <w:rPr>
          <w:rFonts w:ascii="黑体" w:hAnsi="黑体" w:eastAsia="黑体"/>
          <w:color w:val="000000"/>
          <w:sz w:val="36"/>
          <w:szCs w:val="36"/>
        </w:rPr>
      </w:pPr>
    </w:p>
    <w:p w14:paraId="7CDCD116">
      <w:pPr>
        <w:widowControl/>
        <w:ind w:firstLine="0" w:firstLineChars="0"/>
        <w:jc w:val="left"/>
        <w:rPr>
          <w:rFonts w:eastAsia="方正小标宋简体"/>
          <w:sz w:val="44"/>
          <w:szCs w:val="44"/>
        </w:rPr>
      </w:pPr>
      <w:r>
        <w:rPr>
          <w:rFonts w:eastAsia="方正小标宋简体"/>
          <w:sz w:val="44"/>
          <w:szCs w:val="44"/>
        </w:rPr>
        <w:br w:type="page"/>
      </w:r>
    </w:p>
    <w:sdt>
      <w:sdtPr>
        <w:rPr>
          <w:rFonts w:ascii="Times New Roman" w:hAnsi="Times New Roman" w:eastAsia="宋体" w:cs="Times New Roman"/>
          <w:b w:val="0"/>
          <w:color w:val="auto"/>
          <w:kern w:val="2"/>
          <w:sz w:val="21"/>
          <w:szCs w:val="24"/>
          <w:lang w:val="zh-CN"/>
        </w:rPr>
        <w:id w:val="1011111550"/>
        <w:docPartObj>
          <w:docPartGallery w:val="Table of Contents"/>
          <w:docPartUnique/>
        </w:docPartObj>
      </w:sdtPr>
      <w:sdtEndPr>
        <w:rPr>
          <w:rFonts w:ascii="Times New Roman" w:hAnsi="Times New Roman" w:eastAsia="宋体" w:cs="Times New Roman"/>
          <w:b w:val="0"/>
          <w:bCs/>
          <w:color w:val="auto"/>
          <w:kern w:val="2"/>
          <w:sz w:val="24"/>
          <w:szCs w:val="24"/>
          <w:lang w:val="zh-CN"/>
        </w:rPr>
      </w:sdtEndPr>
      <w:sdtContent>
        <w:p w14:paraId="0C05B00E">
          <w:pPr>
            <w:pStyle w:val="150"/>
            <w:ind w:firstLine="422"/>
            <w:jc w:val="center"/>
            <w:rPr>
              <w:rFonts w:ascii="方正小标宋简体" w:eastAsia="方正小标宋简体"/>
              <w:sz w:val="36"/>
              <w:szCs w:val="36"/>
            </w:rPr>
          </w:pPr>
          <w:r>
            <w:rPr>
              <w:rFonts w:hint="eastAsia" w:ascii="方正小标宋简体" w:eastAsia="方正小标宋简体"/>
              <w:sz w:val="36"/>
              <w:szCs w:val="36"/>
              <w:lang w:val="zh-CN"/>
            </w:rPr>
            <w:t>目录</w:t>
          </w:r>
        </w:p>
        <w:p w14:paraId="40FE46ED">
          <w:pPr>
            <w:pStyle w:val="28"/>
            <w:tabs>
              <w:tab w:val="right" w:leader="dot" w:pos="8296"/>
            </w:tabs>
            <w:rPr>
              <w:rFonts w:eastAsiaTheme="minorEastAsia" w:cstheme="minorBidi"/>
              <w:bCs w:val="0"/>
              <w:sz w:val="21"/>
              <w:szCs w:val="22"/>
            </w:rPr>
          </w:pPr>
          <w:r>
            <w:rPr>
              <w:b/>
            </w:rPr>
            <w:fldChar w:fldCharType="begin"/>
          </w:r>
          <w:r>
            <w:rPr>
              <w:b/>
            </w:rPr>
            <w:instrText xml:space="preserve"> TOC \o "1-2" \h \z \u </w:instrText>
          </w:r>
          <w:r>
            <w:rPr>
              <w:b/>
            </w:rPr>
            <w:fldChar w:fldCharType="separate"/>
          </w:r>
          <w:r>
            <w:fldChar w:fldCharType="begin"/>
          </w:r>
          <w:r>
            <w:instrText xml:space="preserve"> HYPERLINK \l "_Toc213423783" </w:instrText>
          </w:r>
          <w:r>
            <w:fldChar w:fldCharType="separate"/>
          </w:r>
          <w:r>
            <w:rPr>
              <w:rStyle w:val="49"/>
            </w:rPr>
            <w:t>一、概述</w:t>
          </w:r>
          <w:r>
            <w:tab/>
          </w:r>
          <w:r>
            <w:fldChar w:fldCharType="begin"/>
          </w:r>
          <w:r>
            <w:instrText xml:space="preserve"> PAGEREF _Toc213423783 \h </w:instrText>
          </w:r>
          <w:r>
            <w:fldChar w:fldCharType="separate"/>
          </w:r>
          <w:r>
            <w:t>- 1 -</w:t>
          </w:r>
          <w:r>
            <w:fldChar w:fldCharType="end"/>
          </w:r>
          <w:r>
            <w:fldChar w:fldCharType="end"/>
          </w:r>
        </w:p>
        <w:p w14:paraId="61DFDA1C">
          <w:pPr>
            <w:pStyle w:val="28"/>
            <w:tabs>
              <w:tab w:val="right" w:leader="dot" w:pos="8296"/>
            </w:tabs>
            <w:rPr>
              <w:rFonts w:eastAsiaTheme="minorEastAsia" w:cstheme="minorBidi"/>
              <w:bCs w:val="0"/>
              <w:sz w:val="21"/>
              <w:szCs w:val="22"/>
            </w:rPr>
          </w:pPr>
          <w:r>
            <w:fldChar w:fldCharType="begin"/>
          </w:r>
          <w:r>
            <w:instrText xml:space="preserve"> HYPERLINK \l "_Toc213423784" </w:instrText>
          </w:r>
          <w:r>
            <w:fldChar w:fldCharType="separate"/>
          </w:r>
          <w:r>
            <w:rPr>
              <w:rStyle w:val="49"/>
            </w:rPr>
            <w:t>二、专业名称及代码</w:t>
          </w:r>
          <w:r>
            <w:tab/>
          </w:r>
          <w:r>
            <w:fldChar w:fldCharType="begin"/>
          </w:r>
          <w:r>
            <w:instrText xml:space="preserve"> PAGEREF _Toc213423784 \h </w:instrText>
          </w:r>
          <w:r>
            <w:fldChar w:fldCharType="separate"/>
          </w:r>
          <w:r>
            <w:t>- 1 -</w:t>
          </w:r>
          <w:r>
            <w:fldChar w:fldCharType="end"/>
          </w:r>
          <w:r>
            <w:fldChar w:fldCharType="end"/>
          </w:r>
        </w:p>
        <w:p w14:paraId="5C957CB4">
          <w:pPr>
            <w:pStyle w:val="28"/>
            <w:tabs>
              <w:tab w:val="right" w:leader="dot" w:pos="8296"/>
            </w:tabs>
            <w:rPr>
              <w:rFonts w:eastAsiaTheme="minorEastAsia" w:cstheme="minorBidi"/>
              <w:bCs w:val="0"/>
              <w:sz w:val="21"/>
              <w:szCs w:val="22"/>
            </w:rPr>
          </w:pPr>
          <w:r>
            <w:fldChar w:fldCharType="begin"/>
          </w:r>
          <w:r>
            <w:instrText xml:space="preserve"> HYPERLINK \l "_Toc213423785" </w:instrText>
          </w:r>
          <w:r>
            <w:fldChar w:fldCharType="separate"/>
          </w:r>
          <w:r>
            <w:rPr>
              <w:rStyle w:val="49"/>
            </w:rPr>
            <w:t>三、入学要求</w:t>
          </w:r>
          <w:r>
            <w:tab/>
          </w:r>
          <w:r>
            <w:fldChar w:fldCharType="begin"/>
          </w:r>
          <w:r>
            <w:instrText xml:space="preserve"> PAGEREF _Toc213423785 \h </w:instrText>
          </w:r>
          <w:r>
            <w:fldChar w:fldCharType="separate"/>
          </w:r>
          <w:r>
            <w:t>- 1 -</w:t>
          </w:r>
          <w:r>
            <w:fldChar w:fldCharType="end"/>
          </w:r>
          <w:r>
            <w:fldChar w:fldCharType="end"/>
          </w:r>
        </w:p>
        <w:p w14:paraId="196F3287">
          <w:pPr>
            <w:pStyle w:val="28"/>
            <w:tabs>
              <w:tab w:val="right" w:leader="dot" w:pos="8296"/>
            </w:tabs>
            <w:rPr>
              <w:rFonts w:eastAsiaTheme="minorEastAsia" w:cstheme="minorBidi"/>
              <w:bCs w:val="0"/>
              <w:sz w:val="21"/>
              <w:szCs w:val="22"/>
            </w:rPr>
          </w:pPr>
          <w:r>
            <w:fldChar w:fldCharType="begin"/>
          </w:r>
          <w:r>
            <w:instrText xml:space="preserve"> HYPERLINK \l "_Toc213423786" </w:instrText>
          </w:r>
          <w:r>
            <w:fldChar w:fldCharType="separate"/>
          </w:r>
          <w:r>
            <w:rPr>
              <w:rStyle w:val="49"/>
            </w:rPr>
            <w:t>四、修业年限</w:t>
          </w:r>
          <w:r>
            <w:tab/>
          </w:r>
          <w:r>
            <w:fldChar w:fldCharType="begin"/>
          </w:r>
          <w:r>
            <w:instrText xml:space="preserve"> PAGEREF _Toc213423786 \h </w:instrText>
          </w:r>
          <w:r>
            <w:fldChar w:fldCharType="separate"/>
          </w:r>
          <w:r>
            <w:t>- 1 -</w:t>
          </w:r>
          <w:r>
            <w:fldChar w:fldCharType="end"/>
          </w:r>
          <w:r>
            <w:fldChar w:fldCharType="end"/>
          </w:r>
        </w:p>
        <w:p w14:paraId="7510C18F">
          <w:pPr>
            <w:pStyle w:val="28"/>
            <w:tabs>
              <w:tab w:val="right" w:leader="dot" w:pos="8296"/>
            </w:tabs>
            <w:rPr>
              <w:rFonts w:eastAsiaTheme="minorEastAsia" w:cstheme="minorBidi"/>
              <w:bCs w:val="0"/>
              <w:sz w:val="21"/>
              <w:szCs w:val="22"/>
            </w:rPr>
          </w:pPr>
          <w:r>
            <w:fldChar w:fldCharType="begin"/>
          </w:r>
          <w:r>
            <w:instrText xml:space="preserve"> HYPERLINK \l "_Toc213423787" </w:instrText>
          </w:r>
          <w:r>
            <w:fldChar w:fldCharType="separate"/>
          </w:r>
          <w:r>
            <w:rPr>
              <w:rStyle w:val="49"/>
            </w:rPr>
            <w:t>五、职业面向</w:t>
          </w:r>
          <w:r>
            <w:tab/>
          </w:r>
          <w:r>
            <w:fldChar w:fldCharType="begin"/>
          </w:r>
          <w:r>
            <w:instrText xml:space="preserve"> PAGEREF _Toc213423787 \h </w:instrText>
          </w:r>
          <w:r>
            <w:fldChar w:fldCharType="separate"/>
          </w:r>
          <w:r>
            <w:t>- 1 -</w:t>
          </w:r>
          <w:r>
            <w:fldChar w:fldCharType="end"/>
          </w:r>
          <w:r>
            <w:fldChar w:fldCharType="end"/>
          </w:r>
        </w:p>
        <w:p w14:paraId="5FC340E1">
          <w:pPr>
            <w:pStyle w:val="28"/>
            <w:tabs>
              <w:tab w:val="right" w:leader="dot" w:pos="8296"/>
            </w:tabs>
            <w:rPr>
              <w:rFonts w:eastAsiaTheme="minorEastAsia" w:cstheme="minorBidi"/>
              <w:bCs w:val="0"/>
              <w:sz w:val="21"/>
              <w:szCs w:val="22"/>
            </w:rPr>
          </w:pPr>
          <w:r>
            <w:fldChar w:fldCharType="begin"/>
          </w:r>
          <w:r>
            <w:instrText xml:space="preserve"> HYPERLINK \l "_Toc213423788" </w:instrText>
          </w:r>
          <w:r>
            <w:fldChar w:fldCharType="separate"/>
          </w:r>
          <w:r>
            <w:rPr>
              <w:rStyle w:val="49"/>
            </w:rPr>
            <w:t>六、培养目标</w:t>
          </w:r>
          <w:r>
            <w:tab/>
          </w:r>
          <w:r>
            <w:fldChar w:fldCharType="begin"/>
          </w:r>
          <w:r>
            <w:instrText xml:space="preserve"> PAGEREF _Toc213423788 \h </w:instrText>
          </w:r>
          <w:r>
            <w:fldChar w:fldCharType="separate"/>
          </w:r>
          <w:r>
            <w:t>- 2 -</w:t>
          </w:r>
          <w:r>
            <w:fldChar w:fldCharType="end"/>
          </w:r>
          <w:r>
            <w:fldChar w:fldCharType="end"/>
          </w:r>
        </w:p>
        <w:p w14:paraId="6A29CCD6">
          <w:pPr>
            <w:pStyle w:val="28"/>
            <w:tabs>
              <w:tab w:val="right" w:leader="dot" w:pos="8296"/>
            </w:tabs>
            <w:rPr>
              <w:rFonts w:eastAsiaTheme="minorEastAsia" w:cstheme="minorBidi"/>
              <w:bCs w:val="0"/>
              <w:sz w:val="21"/>
              <w:szCs w:val="22"/>
            </w:rPr>
          </w:pPr>
          <w:r>
            <w:fldChar w:fldCharType="begin"/>
          </w:r>
          <w:r>
            <w:instrText xml:space="preserve"> HYPERLINK \l "_Toc213423789" </w:instrText>
          </w:r>
          <w:r>
            <w:fldChar w:fldCharType="separate"/>
          </w:r>
          <w:r>
            <w:rPr>
              <w:rStyle w:val="49"/>
            </w:rPr>
            <w:t>七、培养规格</w:t>
          </w:r>
          <w:r>
            <w:tab/>
          </w:r>
          <w:r>
            <w:fldChar w:fldCharType="begin"/>
          </w:r>
          <w:r>
            <w:instrText xml:space="preserve"> PAGEREF _Toc213423789 \h </w:instrText>
          </w:r>
          <w:r>
            <w:fldChar w:fldCharType="separate"/>
          </w:r>
          <w:r>
            <w:t>- 2 -</w:t>
          </w:r>
          <w:r>
            <w:fldChar w:fldCharType="end"/>
          </w:r>
          <w:r>
            <w:fldChar w:fldCharType="end"/>
          </w:r>
        </w:p>
        <w:p w14:paraId="56360F55">
          <w:pPr>
            <w:pStyle w:val="28"/>
            <w:tabs>
              <w:tab w:val="right" w:leader="dot" w:pos="8296"/>
            </w:tabs>
            <w:rPr>
              <w:rFonts w:eastAsiaTheme="minorEastAsia" w:cstheme="minorBidi"/>
              <w:bCs w:val="0"/>
              <w:sz w:val="21"/>
              <w:szCs w:val="22"/>
            </w:rPr>
          </w:pPr>
          <w:r>
            <w:fldChar w:fldCharType="begin"/>
          </w:r>
          <w:r>
            <w:instrText xml:space="preserve"> HYPERLINK \l "_Toc213423790" </w:instrText>
          </w:r>
          <w:r>
            <w:fldChar w:fldCharType="separate"/>
          </w:r>
          <w:r>
            <w:rPr>
              <w:rStyle w:val="49"/>
            </w:rPr>
            <w:t>八、课程设置及学时安排</w:t>
          </w:r>
          <w:r>
            <w:tab/>
          </w:r>
          <w:r>
            <w:fldChar w:fldCharType="begin"/>
          </w:r>
          <w:r>
            <w:instrText xml:space="preserve"> PAGEREF _Toc213423790 \h </w:instrText>
          </w:r>
          <w:r>
            <w:fldChar w:fldCharType="separate"/>
          </w:r>
          <w:r>
            <w:t>- 3 -</w:t>
          </w:r>
          <w:r>
            <w:fldChar w:fldCharType="end"/>
          </w:r>
          <w:r>
            <w:fldChar w:fldCharType="end"/>
          </w:r>
        </w:p>
        <w:p w14:paraId="462BD62A">
          <w:pPr>
            <w:pStyle w:val="34"/>
            <w:tabs>
              <w:tab w:val="right" w:leader="dot" w:pos="8296"/>
            </w:tabs>
            <w:rPr>
              <w:rFonts w:eastAsiaTheme="minorEastAsia" w:cstheme="minorBidi"/>
              <w:iCs w:val="0"/>
              <w:sz w:val="21"/>
              <w:szCs w:val="22"/>
            </w:rPr>
          </w:pPr>
          <w:r>
            <w:fldChar w:fldCharType="begin"/>
          </w:r>
          <w:r>
            <w:instrText xml:space="preserve"> HYPERLINK \l "_Toc213423791" </w:instrText>
          </w:r>
          <w:r>
            <w:fldChar w:fldCharType="separate"/>
          </w:r>
          <w:r>
            <w:rPr>
              <w:rStyle w:val="49"/>
            </w:rPr>
            <w:t>（一）课程设置</w:t>
          </w:r>
          <w:r>
            <w:tab/>
          </w:r>
          <w:r>
            <w:fldChar w:fldCharType="begin"/>
          </w:r>
          <w:r>
            <w:instrText xml:space="preserve"> PAGEREF _Toc213423791 \h </w:instrText>
          </w:r>
          <w:r>
            <w:fldChar w:fldCharType="separate"/>
          </w:r>
          <w:r>
            <w:t>- 3 -</w:t>
          </w:r>
          <w:r>
            <w:fldChar w:fldCharType="end"/>
          </w:r>
          <w:r>
            <w:fldChar w:fldCharType="end"/>
          </w:r>
        </w:p>
        <w:p w14:paraId="62FDDE63">
          <w:pPr>
            <w:pStyle w:val="34"/>
            <w:tabs>
              <w:tab w:val="right" w:leader="dot" w:pos="8296"/>
            </w:tabs>
            <w:rPr>
              <w:rFonts w:eastAsiaTheme="minorEastAsia" w:cstheme="minorBidi"/>
              <w:iCs w:val="0"/>
              <w:sz w:val="21"/>
              <w:szCs w:val="22"/>
            </w:rPr>
          </w:pPr>
          <w:r>
            <w:fldChar w:fldCharType="begin"/>
          </w:r>
          <w:r>
            <w:instrText xml:space="preserve"> HYPERLINK \l "_Toc213423792" </w:instrText>
          </w:r>
          <w:r>
            <w:fldChar w:fldCharType="separate"/>
          </w:r>
          <w:r>
            <w:rPr>
              <w:rStyle w:val="49"/>
            </w:rPr>
            <w:t>（二）学时安排</w:t>
          </w:r>
          <w:r>
            <w:tab/>
          </w:r>
          <w:r>
            <w:fldChar w:fldCharType="begin"/>
          </w:r>
          <w:r>
            <w:instrText xml:space="preserve"> PAGEREF _Toc213423792 \h </w:instrText>
          </w:r>
          <w:r>
            <w:fldChar w:fldCharType="separate"/>
          </w:r>
          <w:r>
            <w:t>- 17 -</w:t>
          </w:r>
          <w:r>
            <w:fldChar w:fldCharType="end"/>
          </w:r>
          <w:r>
            <w:fldChar w:fldCharType="end"/>
          </w:r>
        </w:p>
        <w:p w14:paraId="016A614B">
          <w:pPr>
            <w:pStyle w:val="28"/>
            <w:tabs>
              <w:tab w:val="right" w:leader="dot" w:pos="8296"/>
            </w:tabs>
            <w:rPr>
              <w:rFonts w:eastAsiaTheme="minorEastAsia" w:cstheme="minorBidi"/>
              <w:bCs w:val="0"/>
              <w:sz w:val="21"/>
              <w:szCs w:val="22"/>
            </w:rPr>
          </w:pPr>
          <w:r>
            <w:fldChar w:fldCharType="begin"/>
          </w:r>
          <w:r>
            <w:instrText xml:space="preserve"> HYPERLINK \l "_Toc213423793" </w:instrText>
          </w:r>
          <w:r>
            <w:fldChar w:fldCharType="separate"/>
          </w:r>
          <w:r>
            <w:rPr>
              <w:rStyle w:val="49"/>
            </w:rPr>
            <w:t>九、师资队伍</w:t>
          </w:r>
          <w:r>
            <w:tab/>
          </w:r>
          <w:r>
            <w:fldChar w:fldCharType="begin"/>
          </w:r>
          <w:r>
            <w:instrText xml:space="preserve"> PAGEREF _Toc213423793 \h </w:instrText>
          </w:r>
          <w:r>
            <w:fldChar w:fldCharType="separate"/>
          </w:r>
          <w:r>
            <w:t>- 20 -</w:t>
          </w:r>
          <w:r>
            <w:fldChar w:fldCharType="end"/>
          </w:r>
          <w:r>
            <w:fldChar w:fldCharType="end"/>
          </w:r>
        </w:p>
        <w:p w14:paraId="7E3559C0">
          <w:pPr>
            <w:pStyle w:val="34"/>
            <w:tabs>
              <w:tab w:val="right" w:leader="dot" w:pos="8296"/>
            </w:tabs>
            <w:rPr>
              <w:rFonts w:eastAsiaTheme="minorEastAsia" w:cstheme="minorBidi"/>
              <w:iCs w:val="0"/>
              <w:sz w:val="21"/>
              <w:szCs w:val="22"/>
            </w:rPr>
          </w:pPr>
          <w:r>
            <w:fldChar w:fldCharType="begin"/>
          </w:r>
          <w:r>
            <w:instrText xml:space="preserve"> HYPERLINK \l "_Toc213423794" </w:instrText>
          </w:r>
          <w:r>
            <w:fldChar w:fldCharType="separate"/>
          </w:r>
          <w:r>
            <w:rPr>
              <w:rStyle w:val="49"/>
            </w:rPr>
            <w:t>（一）队伍结构</w:t>
          </w:r>
          <w:r>
            <w:tab/>
          </w:r>
          <w:r>
            <w:fldChar w:fldCharType="begin"/>
          </w:r>
          <w:r>
            <w:instrText xml:space="preserve"> PAGEREF _Toc213423794 \h </w:instrText>
          </w:r>
          <w:r>
            <w:fldChar w:fldCharType="separate"/>
          </w:r>
          <w:r>
            <w:t>- 20 -</w:t>
          </w:r>
          <w:r>
            <w:fldChar w:fldCharType="end"/>
          </w:r>
          <w:r>
            <w:fldChar w:fldCharType="end"/>
          </w:r>
        </w:p>
        <w:p w14:paraId="51BA2467">
          <w:pPr>
            <w:pStyle w:val="34"/>
            <w:tabs>
              <w:tab w:val="right" w:leader="dot" w:pos="8296"/>
            </w:tabs>
            <w:rPr>
              <w:rFonts w:eastAsiaTheme="minorEastAsia" w:cstheme="minorBidi"/>
              <w:iCs w:val="0"/>
              <w:sz w:val="21"/>
              <w:szCs w:val="22"/>
            </w:rPr>
          </w:pPr>
          <w:r>
            <w:fldChar w:fldCharType="begin"/>
          </w:r>
          <w:r>
            <w:instrText xml:space="preserve"> HYPERLINK \l "_Toc213423795" </w:instrText>
          </w:r>
          <w:r>
            <w:fldChar w:fldCharType="separate"/>
          </w:r>
          <w:r>
            <w:rPr>
              <w:rStyle w:val="49"/>
            </w:rPr>
            <w:t>（二）专业带头人</w:t>
          </w:r>
          <w:r>
            <w:tab/>
          </w:r>
          <w:r>
            <w:fldChar w:fldCharType="begin"/>
          </w:r>
          <w:r>
            <w:instrText xml:space="preserve"> PAGEREF _Toc213423795 \h </w:instrText>
          </w:r>
          <w:r>
            <w:fldChar w:fldCharType="separate"/>
          </w:r>
          <w:r>
            <w:t>- 20 -</w:t>
          </w:r>
          <w:r>
            <w:fldChar w:fldCharType="end"/>
          </w:r>
          <w:r>
            <w:fldChar w:fldCharType="end"/>
          </w:r>
        </w:p>
        <w:p w14:paraId="55F64E0C">
          <w:pPr>
            <w:pStyle w:val="34"/>
            <w:tabs>
              <w:tab w:val="right" w:leader="dot" w:pos="8296"/>
            </w:tabs>
            <w:rPr>
              <w:rFonts w:eastAsiaTheme="minorEastAsia" w:cstheme="minorBidi"/>
              <w:iCs w:val="0"/>
              <w:sz w:val="21"/>
              <w:szCs w:val="22"/>
            </w:rPr>
          </w:pPr>
          <w:r>
            <w:fldChar w:fldCharType="begin"/>
          </w:r>
          <w:r>
            <w:instrText xml:space="preserve"> HYPERLINK \l "_Toc213423796" </w:instrText>
          </w:r>
          <w:r>
            <w:fldChar w:fldCharType="separate"/>
          </w:r>
          <w:r>
            <w:rPr>
              <w:rStyle w:val="49"/>
            </w:rPr>
            <w:t>（三）专任教师</w:t>
          </w:r>
          <w:r>
            <w:tab/>
          </w:r>
          <w:r>
            <w:fldChar w:fldCharType="begin"/>
          </w:r>
          <w:r>
            <w:instrText xml:space="preserve"> PAGEREF _Toc213423796 \h </w:instrText>
          </w:r>
          <w:r>
            <w:fldChar w:fldCharType="separate"/>
          </w:r>
          <w:r>
            <w:t>- 20 -</w:t>
          </w:r>
          <w:r>
            <w:fldChar w:fldCharType="end"/>
          </w:r>
          <w:r>
            <w:fldChar w:fldCharType="end"/>
          </w:r>
        </w:p>
        <w:p w14:paraId="32E42B4C">
          <w:pPr>
            <w:pStyle w:val="34"/>
            <w:tabs>
              <w:tab w:val="right" w:leader="dot" w:pos="8296"/>
            </w:tabs>
            <w:rPr>
              <w:rFonts w:eastAsiaTheme="minorEastAsia" w:cstheme="minorBidi"/>
              <w:iCs w:val="0"/>
              <w:sz w:val="21"/>
              <w:szCs w:val="22"/>
            </w:rPr>
          </w:pPr>
          <w:r>
            <w:fldChar w:fldCharType="begin"/>
          </w:r>
          <w:r>
            <w:instrText xml:space="preserve"> HYPERLINK \l "_Toc213423797" </w:instrText>
          </w:r>
          <w:r>
            <w:fldChar w:fldCharType="separate"/>
          </w:r>
          <w:r>
            <w:rPr>
              <w:rStyle w:val="49"/>
            </w:rPr>
            <w:t>（四）兼职教师</w:t>
          </w:r>
          <w:r>
            <w:tab/>
          </w:r>
          <w:r>
            <w:fldChar w:fldCharType="begin"/>
          </w:r>
          <w:r>
            <w:instrText xml:space="preserve"> PAGEREF _Toc213423797 \h </w:instrText>
          </w:r>
          <w:r>
            <w:fldChar w:fldCharType="separate"/>
          </w:r>
          <w:r>
            <w:t>- 21 -</w:t>
          </w:r>
          <w:r>
            <w:fldChar w:fldCharType="end"/>
          </w:r>
          <w:r>
            <w:fldChar w:fldCharType="end"/>
          </w:r>
        </w:p>
        <w:p w14:paraId="0D49C5BA">
          <w:pPr>
            <w:pStyle w:val="28"/>
            <w:tabs>
              <w:tab w:val="right" w:leader="dot" w:pos="8296"/>
            </w:tabs>
            <w:rPr>
              <w:rFonts w:eastAsiaTheme="minorEastAsia" w:cstheme="minorBidi"/>
              <w:bCs w:val="0"/>
              <w:sz w:val="21"/>
              <w:szCs w:val="22"/>
            </w:rPr>
          </w:pPr>
          <w:r>
            <w:fldChar w:fldCharType="begin"/>
          </w:r>
          <w:r>
            <w:instrText xml:space="preserve"> HYPERLINK \l "_Toc213423798" </w:instrText>
          </w:r>
          <w:r>
            <w:fldChar w:fldCharType="separate"/>
          </w:r>
          <w:r>
            <w:rPr>
              <w:rStyle w:val="49"/>
            </w:rPr>
            <w:t>十、教学条件</w:t>
          </w:r>
          <w:r>
            <w:tab/>
          </w:r>
          <w:r>
            <w:fldChar w:fldCharType="begin"/>
          </w:r>
          <w:r>
            <w:instrText xml:space="preserve"> PAGEREF _Toc213423798 \h </w:instrText>
          </w:r>
          <w:r>
            <w:fldChar w:fldCharType="separate"/>
          </w:r>
          <w:r>
            <w:t>- 21 -</w:t>
          </w:r>
          <w:r>
            <w:fldChar w:fldCharType="end"/>
          </w:r>
          <w:r>
            <w:fldChar w:fldCharType="end"/>
          </w:r>
        </w:p>
        <w:p w14:paraId="48F1CE26">
          <w:pPr>
            <w:pStyle w:val="34"/>
            <w:tabs>
              <w:tab w:val="right" w:leader="dot" w:pos="8296"/>
            </w:tabs>
            <w:rPr>
              <w:rFonts w:eastAsiaTheme="minorEastAsia" w:cstheme="minorBidi"/>
              <w:iCs w:val="0"/>
              <w:sz w:val="21"/>
              <w:szCs w:val="22"/>
            </w:rPr>
          </w:pPr>
          <w:r>
            <w:fldChar w:fldCharType="begin"/>
          </w:r>
          <w:r>
            <w:instrText xml:space="preserve"> HYPERLINK \l "_Toc213423799" </w:instrText>
          </w:r>
          <w:r>
            <w:fldChar w:fldCharType="separate"/>
          </w:r>
          <w:r>
            <w:rPr>
              <w:rStyle w:val="49"/>
            </w:rPr>
            <w:t>（一）教学设施</w:t>
          </w:r>
          <w:r>
            <w:tab/>
          </w:r>
          <w:r>
            <w:fldChar w:fldCharType="begin"/>
          </w:r>
          <w:r>
            <w:instrText xml:space="preserve"> PAGEREF _Toc213423799 \h </w:instrText>
          </w:r>
          <w:r>
            <w:fldChar w:fldCharType="separate"/>
          </w:r>
          <w:r>
            <w:t>- 21 -</w:t>
          </w:r>
          <w:r>
            <w:fldChar w:fldCharType="end"/>
          </w:r>
          <w:r>
            <w:fldChar w:fldCharType="end"/>
          </w:r>
        </w:p>
        <w:p w14:paraId="19054C4D">
          <w:pPr>
            <w:pStyle w:val="34"/>
            <w:tabs>
              <w:tab w:val="right" w:leader="dot" w:pos="8296"/>
            </w:tabs>
            <w:rPr>
              <w:rFonts w:eastAsiaTheme="minorEastAsia" w:cstheme="minorBidi"/>
              <w:iCs w:val="0"/>
              <w:sz w:val="21"/>
              <w:szCs w:val="22"/>
            </w:rPr>
          </w:pPr>
          <w:r>
            <w:fldChar w:fldCharType="begin"/>
          </w:r>
          <w:r>
            <w:instrText xml:space="preserve"> HYPERLINK \l "_Toc213423800" </w:instrText>
          </w:r>
          <w:r>
            <w:fldChar w:fldCharType="separate"/>
          </w:r>
          <w:r>
            <w:rPr>
              <w:rStyle w:val="49"/>
            </w:rPr>
            <w:t>（二）教学资源</w:t>
          </w:r>
          <w:r>
            <w:tab/>
          </w:r>
          <w:r>
            <w:fldChar w:fldCharType="begin"/>
          </w:r>
          <w:r>
            <w:instrText xml:space="preserve"> PAGEREF _Toc213423800 \h </w:instrText>
          </w:r>
          <w:r>
            <w:fldChar w:fldCharType="separate"/>
          </w:r>
          <w:r>
            <w:t>- 23 -</w:t>
          </w:r>
          <w:r>
            <w:fldChar w:fldCharType="end"/>
          </w:r>
          <w:r>
            <w:fldChar w:fldCharType="end"/>
          </w:r>
        </w:p>
        <w:p w14:paraId="12D21389">
          <w:pPr>
            <w:pStyle w:val="34"/>
            <w:tabs>
              <w:tab w:val="right" w:leader="dot" w:pos="8296"/>
            </w:tabs>
            <w:rPr>
              <w:rFonts w:eastAsiaTheme="minorEastAsia" w:cstheme="minorBidi"/>
              <w:iCs w:val="0"/>
              <w:sz w:val="21"/>
              <w:szCs w:val="22"/>
            </w:rPr>
          </w:pPr>
          <w:r>
            <w:fldChar w:fldCharType="begin"/>
          </w:r>
          <w:r>
            <w:instrText xml:space="preserve"> HYPERLINK \l "_Toc213423801" </w:instrText>
          </w:r>
          <w:r>
            <w:fldChar w:fldCharType="separate"/>
          </w:r>
          <w:r>
            <w:rPr>
              <w:rStyle w:val="49"/>
            </w:rPr>
            <w:t>（三）教学方法与模式</w:t>
          </w:r>
          <w:r>
            <w:tab/>
          </w:r>
          <w:r>
            <w:fldChar w:fldCharType="begin"/>
          </w:r>
          <w:r>
            <w:instrText xml:space="preserve"> PAGEREF _Toc213423801 \h </w:instrText>
          </w:r>
          <w:r>
            <w:fldChar w:fldCharType="separate"/>
          </w:r>
          <w:r>
            <w:t>- 23 -</w:t>
          </w:r>
          <w:r>
            <w:fldChar w:fldCharType="end"/>
          </w:r>
          <w:r>
            <w:fldChar w:fldCharType="end"/>
          </w:r>
        </w:p>
        <w:p w14:paraId="1D8FD23E">
          <w:pPr>
            <w:pStyle w:val="28"/>
            <w:tabs>
              <w:tab w:val="right" w:leader="dot" w:pos="8296"/>
            </w:tabs>
            <w:rPr>
              <w:rFonts w:eastAsiaTheme="minorEastAsia" w:cstheme="minorBidi"/>
              <w:bCs w:val="0"/>
              <w:sz w:val="21"/>
              <w:szCs w:val="22"/>
            </w:rPr>
          </w:pPr>
          <w:r>
            <w:fldChar w:fldCharType="begin"/>
          </w:r>
          <w:r>
            <w:instrText xml:space="preserve"> HYPERLINK \l "_Toc213423802" </w:instrText>
          </w:r>
          <w:r>
            <w:fldChar w:fldCharType="separate"/>
          </w:r>
          <w:r>
            <w:rPr>
              <w:rStyle w:val="49"/>
            </w:rPr>
            <w:t>十一、质量保障和毕业要求</w:t>
          </w:r>
          <w:r>
            <w:tab/>
          </w:r>
          <w:r>
            <w:fldChar w:fldCharType="begin"/>
          </w:r>
          <w:r>
            <w:instrText xml:space="preserve"> PAGEREF _Toc213423802 \h </w:instrText>
          </w:r>
          <w:r>
            <w:fldChar w:fldCharType="separate"/>
          </w:r>
          <w:r>
            <w:t>- 24 -</w:t>
          </w:r>
          <w:r>
            <w:fldChar w:fldCharType="end"/>
          </w:r>
          <w:r>
            <w:fldChar w:fldCharType="end"/>
          </w:r>
        </w:p>
        <w:p w14:paraId="5CF80647">
          <w:pPr>
            <w:pStyle w:val="34"/>
            <w:tabs>
              <w:tab w:val="right" w:leader="dot" w:pos="8296"/>
            </w:tabs>
            <w:rPr>
              <w:rFonts w:eastAsiaTheme="minorEastAsia" w:cstheme="minorBidi"/>
              <w:iCs w:val="0"/>
              <w:sz w:val="21"/>
              <w:szCs w:val="22"/>
            </w:rPr>
          </w:pPr>
          <w:r>
            <w:fldChar w:fldCharType="begin"/>
          </w:r>
          <w:r>
            <w:instrText xml:space="preserve"> HYPERLINK \l "_Toc213423803" </w:instrText>
          </w:r>
          <w:r>
            <w:fldChar w:fldCharType="separate"/>
          </w:r>
          <w:r>
            <w:rPr>
              <w:rStyle w:val="49"/>
            </w:rPr>
            <w:t>（一）质量保障</w:t>
          </w:r>
          <w:r>
            <w:tab/>
          </w:r>
          <w:r>
            <w:fldChar w:fldCharType="begin"/>
          </w:r>
          <w:r>
            <w:instrText xml:space="preserve"> PAGEREF _Toc213423803 \h </w:instrText>
          </w:r>
          <w:r>
            <w:fldChar w:fldCharType="separate"/>
          </w:r>
          <w:r>
            <w:t>- 24 -</w:t>
          </w:r>
          <w:r>
            <w:fldChar w:fldCharType="end"/>
          </w:r>
          <w:r>
            <w:fldChar w:fldCharType="end"/>
          </w:r>
        </w:p>
        <w:p w14:paraId="31DAA53D">
          <w:pPr>
            <w:pStyle w:val="34"/>
            <w:tabs>
              <w:tab w:val="right" w:leader="dot" w:pos="8296"/>
            </w:tabs>
            <w:rPr>
              <w:rFonts w:eastAsiaTheme="minorEastAsia" w:cstheme="minorBidi"/>
              <w:iCs w:val="0"/>
              <w:sz w:val="21"/>
              <w:szCs w:val="22"/>
            </w:rPr>
          </w:pPr>
          <w:r>
            <w:fldChar w:fldCharType="begin"/>
          </w:r>
          <w:r>
            <w:instrText xml:space="preserve"> HYPERLINK \l "_Toc213423804" </w:instrText>
          </w:r>
          <w:r>
            <w:fldChar w:fldCharType="separate"/>
          </w:r>
          <w:r>
            <w:rPr>
              <w:rStyle w:val="49"/>
            </w:rPr>
            <w:t>（二）毕业要求</w:t>
          </w:r>
          <w:r>
            <w:tab/>
          </w:r>
          <w:r>
            <w:fldChar w:fldCharType="begin"/>
          </w:r>
          <w:r>
            <w:instrText xml:space="preserve"> PAGEREF _Toc213423804 \h </w:instrText>
          </w:r>
          <w:r>
            <w:fldChar w:fldCharType="separate"/>
          </w:r>
          <w:r>
            <w:t>- 26 -</w:t>
          </w:r>
          <w:r>
            <w:fldChar w:fldCharType="end"/>
          </w:r>
          <w:r>
            <w:fldChar w:fldCharType="end"/>
          </w:r>
        </w:p>
        <w:p w14:paraId="4DBB5357">
          <w:pPr>
            <w:ind w:firstLine="0" w:firstLineChars="0"/>
          </w:pPr>
          <w:r>
            <w:rPr>
              <w:rFonts w:eastAsia="黑体" w:asciiTheme="minorHAnsi" w:hAnsiTheme="minorHAnsi" w:cstheme="minorHAnsi"/>
              <w:b/>
              <w:sz w:val="28"/>
              <w:szCs w:val="20"/>
            </w:rPr>
            <w:fldChar w:fldCharType="end"/>
          </w:r>
        </w:p>
      </w:sdtContent>
    </w:sdt>
    <w:p w14:paraId="73430E5E">
      <w:pPr>
        <w:widowControl/>
        <w:adjustRightInd/>
        <w:snapToGrid/>
        <w:spacing w:line="240" w:lineRule="auto"/>
        <w:ind w:firstLine="0" w:firstLineChars="0"/>
        <w:jc w:val="left"/>
        <w:rPr>
          <w:rFonts w:eastAsia="方正小标宋简体"/>
          <w:sz w:val="32"/>
          <w:szCs w:val="32"/>
        </w:rPr>
      </w:pPr>
    </w:p>
    <w:p w14:paraId="66AD34CD">
      <w:pPr>
        <w:widowControl/>
        <w:adjustRightInd/>
        <w:snapToGrid/>
        <w:spacing w:line="240" w:lineRule="auto"/>
        <w:ind w:firstLine="0" w:firstLineChars="0"/>
        <w:jc w:val="left"/>
        <w:rPr>
          <w:rFonts w:eastAsia="方正小标宋简体"/>
          <w:sz w:val="32"/>
          <w:szCs w:val="32"/>
        </w:rPr>
      </w:pPr>
    </w:p>
    <w:p w14:paraId="22194EA3">
      <w:pPr>
        <w:widowControl/>
        <w:adjustRightInd/>
        <w:snapToGrid/>
        <w:spacing w:line="240" w:lineRule="auto"/>
        <w:ind w:firstLine="0" w:firstLineChars="0"/>
        <w:jc w:val="left"/>
        <w:rPr>
          <w:rFonts w:eastAsia="方正小标宋简体"/>
          <w:sz w:val="32"/>
          <w:szCs w:val="32"/>
        </w:rPr>
      </w:pPr>
    </w:p>
    <w:p w14:paraId="406D7310">
      <w:pPr>
        <w:overflowPunct w:val="0"/>
        <w:ind w:firstLine="880"/>
        <w:jc w:val="center"/>
        <w:rPr>
          <w:rFonts w:eastAsia="方正小标宋简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0"/>
          <w:cols w:space="425" w:num="1"/>
          <w:titlePg/>
          <w:docGrid w:type="lines" w:linePitch="312" w:charSpace="0"/>
        </w:sectPr>
      </w:pPr>
    </w:p>
    <w:p w14:paraId="1054CA55">
      <w:pPr>
        <w:overflowPunct w:val="0"/>
        <w:ind w:firstLine="640"/>
        <w:jc w:val="center"/>
        <w:rPr>
          <w:rFonts w:eastAsia="方正小标宋简体"/>
          <w:sz w:val="32"/>
          <w:szCs w:val="32"/>
        </w:rPr>
      </w:pPr>
      <w:r>
        <w:rPr>
          <w:rFonts w:hint="eastAsia" w:eastAsia="方正小标宋简体"/>
          <w:sz w:val="32"/>
          <w:szCs w:val="32"/>
        </w:rPr>
        <w:t>计算机平面设计</w:t>
      </w:r>
      <w:r>
        <w:rPr>
          <w:rFonts w:eastAsia="方正小标宋简体"/>
          <w:sz w:val="32"/>
          <w:szCs w:val="32"/>
        </w:rPr>
        <w:t>专业人才培养方案</w:t>
      </w:r>
      <w:bookmarkEnd w:id="0"/>
      <w:bookmarkEnd w:id="1"/>
    </w:p>
    <w:p w14:paraId="28860B19">
      <w:pPr>
        <w:spacing w:line="480" w:lineRule="auto"/>
        <w:ind w:firstLine="480"/>
        <w:jc w:val="center"/>
        <w:rPr>
          <w:rFonts w:ascii="宋体" w:hAnsi="宋体"/>
        </w:rPr>
      </w:pPr>
      <w:bookmarkStart w:id="2" w:name="_Toc77416423"/>
    </w:p>
    <w:p w14:paraId="07475443">
      <w:pPr>
        <w:pStyle w:val="2"/>
        <w:ind w:firstLine="720"/>
      </w:pPr>
      <w:bookmarkStart w:id="3" w:name="_Toc212238043"/>
      <w:bookmarkStart w:id="4" w:name="_Toc213423783"/>
      <w:r>
        <w:rPr>
          <w:rFonts w:hint="eastAsia"/>
        </w:rPr>
        <w:t>一、概述</w:t>
      </w:r>
      <w:bookmarkEnd w:id="3"/>
      <w:bookmarkEnd w:id="4"/>
    </w:p>
    <w:p w14:paraId="6CC7E8FC">
      <w:pPr>
        <w:ind w:firstLine="480"/>
      </w:pPr>
      <w:r>
        <w:rPr>
          <w:rFonts w:hint="eastAsia"/>
        </w:rPr>
        <w:t>计算机平面设计专业坚持立德树人、德技并修，面向专业化设计服务、广告制作、新媒体运营等行业，培养能从事计算机平面设计、广告制作、包装设计助理、网页美工等工作，掌握扎实的平面设计、版式设计及摄影摄像等专业知识，具备图形图像处理、广告设计与制作、数码照片艺术处理及网页设计等核心技术技能，德智体美劳全面发展的技术技能人才。</w:t>
      </w:r>
    </w:p>
    <w:p w14:paraId="3204B85F">
      <w:pPr>
        <w:ind w:firstLine="480"/>
      </w:pPr>
      <w:r>
        <w:rPr>
          <w:rFonts w:hint="eastAsia"/>
        </w:rPr>
        <w:t>该专业课程体系以就业为导向、以能力为本位，开设实用美术基础、图形图像处理等专业基础课程，以及矢量绘图、版式设计、平面设计创意与制作、网页设计与制作等专业核心课程。通过对接真实职业场景的校内外实训及岗位实习，强化学生实践能力，并对接界面设计、数字影像处理等职业技能等级证书，为学生未来在视觉传达设计、数字媒体技术等相关领域的可持续发展和更高层次学习奠定坚实基础。</w:t>
      </w:r>
    </w:p>
    <w:p w14:paraId="22D4452B">
      <w:pPr>
        <w:pStyle w:val="2"/>
        <w:ind w:firstLine="720"/>
      </w:pPr>
      <w:bookmarkStart w:id="5" w:name="_Toc212238044"/>
      <w:bookmarkStart w:id="6" w:name="_Toc213423784"/>
      <w:r>
        <w:rPr>
          <w:rFonts w:hint="eastAsia"/>
        </w:rPr>
        <w:t>二</w:t>
      </w:r>
      <w:r>
        <w:t>、专业名称及代码</w:t>
      </w:r>
      <w:bookmarkEnd w:id="2"/>
      <w:bookmarkEnd w:id="5"/>
      <w:bookmarkEnd w:id="6"/>
    </w:p>
    <w:p w14:paraId="08B33326">
      <w:pPr>
        <w:ind w:firstLine="480"/>
        <w:rPr>
          <w:rFonts w:ascii="仿宋" w:hAnsi="仿宋"/>
        </w:rPr>
      </w:pPr>
      <w:bookmarkStart w:id="7" w:name="_Hlk212154428"/>
      <w:r>
        <w:rPr>
          <w:rFonts w:ascii="仿宋" w:hAnsi="仿宋"/>
        </w:rPr>
        <w:t>专业名称</w:t>
      </w:r>
      <w:r>
        <w:rPr>
          <w:rFonts w:hint="eastAsia" w:ascii="仿宋" w:hAnsi="仿宋"/>
        </w:rPr>
        <w:t>：</w:t>
      </w:r>
      <w:bookmarkEnd w:id="7"/>
      <w:r>
        <w:rPr>
          <w:rFonts w:hint="eastAsia" w:ascii="仿宋" w:hAnsi="仿宋"/>
        </w:rPr>
        <w:t>计算机平面设计</w:t>
      </w:r>
    </w:p>
    <w:p w14:paraId="6FA9C512">
      <w:pPr>
        <w:ind w:firstLine="480"/>
        <w:rPr>
          <w:rFonts w:ascii="仿宋" w:hAnsi="仿宋"/>
        </w:rPr>
      </w:pPr>
      <w:bookmarkStart w:id="8" w:name="_Hlk212154438"/>
      <w:r>
        <w:rPr>
          <w:rFonts w:hint="eastAsia" w:ascii="仿宋" w:hAnsi="仿宋"/>
          <w:bCs/>
        </w:rPr>
        <w:t>专业代码：</w:t>
      </w:r>
      <w:bookmarkEnd w:id="8"/>
      <w:r>
        <w:rPr>
          <w:rFonts w:hint="eastAsia" w:ascii="仿宋" w:hAnsi="仿宋"/>
        </w:rPr>
        <w:t>7</w:t>
      </w:r>
      <w:r>
        <w:rPr>
          <w:rFonts w:ascii="仿宋" w:hAnsi="仿宋"/>
        </w:rPr>
        <w:t>10210</w:t>
      </w:r>
    </w:p>
    <w:p w14:paraId="6DFC9887">
      <w:pPr>
        <w:pStyle w:val="2"/>
        <w:ind w:firstLine="720"/>
      </w:pPr>
      <w:bookmarkStart w:id="9" w:name="_Toc213423785"/>
      <w:bookmarkStart w:id="10" w:name="_Toc77416424"/>
      <w:bookmarkStart w:id="11" w:name="_Toc212238045"/>
      <w:r>
        <w:rPr>
          <w:rFonts w:hint="eastAsia"/>
        </w:rPr>
        <w:t>三</w:t>
      </w:r>
      <w:r>
        <w:t>、</w:t>
      </w:r>
      <w:r>
        <w:rPr>
          <w:rFonts w:hint="eastAsia"/>
        </w:rPr>
        <w:t>入学要求</w:t>
      </w:r>
      <w:bookmarkEnd w:id="9"/>
      <w:bookmarkEnd w:id="10"/>
      <w:bookmarkEnd w:id="11"/>
    </w:p>
    <w:p w14:paraId="20423E1B">
      <w:pPr>
        <w:ind w:firstLine="480"/>
      </w:pPr>
      <w:r>
        <w:rPr>
          <w:rFonts w:hint="eastAsia"/>
        </w:rPr>
        <w:t>初中毕业生或具有同等学力者</w:t>
      </w:r>
    </w:p>
    <w:p w14:paraId="217C59C1">
      <w:pPr>
        <w:pStyle w:val="2"/>
        <w:ind w:firstLine="720"/>
      </w:pPr>
      <w:bookmarkStart w:id="12" w:name="_Toc77416425"/>
      <w:bookmarkStart w:id="13" w:name="_Toc213423786"/>
      <w:bookmarkStart w:id="14" w:name="_Toc212238046"/>
      <w:r>
        <w:rPr>
          <w:rFonts w:hint="eastAsia"/>
        </w:rPr>
        <w:t>四</w:t>
      </w:r>
      <w:r>
        <w:t>、修业年限</w:t>
      </w:r>
      <w:bookmarkEnd w:id="12"/>
      <w:bookmarkEnd w:id="13"/>
      <w:bookmarkEnd w:id="14"/>
    </w:p>
    <w:p w14:paraId="0E372DB7">
      <w:pPr>
        <w:ind w:firstLine="480"/>
      </w:pPr>
      <w:r>
        <w:rPr>
          <w:rFonts w:hint="eastAsia"/>
        </w:rPr>
        <w:t>三年</w:t>
      </w:r>
    </w:p>
    <w:p w14:paraId="079C3A15">
      <w:pPr>
        <w:pStyle w:val="2"/>
        <w:spacing w:line="240" w:lineRule="auto"/>
        <w:ind w:firstLine="720"/>
      </w:pPr>
      <w:bookmarkStart w:id="15" w:name="_Toc77416426"/>
      <w:bookmarkStart w:id="16" w:name="_Toc212238047"/>
      <w:bookmarkStart w:id="17" w:name="_Toc213423787"/>
      <w:r>
        <w:rPr>
          <w:rFonts w:hint="eastAsia"/>
        </w:rPr>
        <w:t>五</w:t>
      </w:r>
      <w:r>
        <w:t>、职业面向</w:t>
      </w:r>
      <w:bookmarkEnd w:id="15"/>
      <w:bookmarkEnd w:id="16"/>
      <w:bookmarkEnd w:id="17"/>
    </w:p>
    <w:tbl>
      <w:tblPr>
        <w:tblStyle w:val="42"/>
        <w:tblW w:w="960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6795"/>
      </w:tblGrid>
      <w:tr w14:paraId="4A1F58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2" w:type="dxa"/>
            <w:vAlign w:val="center"/>
          </w:tcPr>
          <w:p w14:paraId="1F9A90A8">
            <w:pPr>
              <w:overflowPunct w:val="0"/>
              <w:spacing w:line="240" w:lineRule="auto"/>
              <w:ind w:firstLine="0" w:firstLineChars="0"/>
              <w:jc w:val="center"/>
              <w:rPr>
                <w:rFonts w:ascii="宋体" w:hAnsi="宋体" w:eastAsia="等线" w:cs="宋体"/>
                <w:bCs/>
                <w:szCs w:val="21"/>
              </w:rPr>
            </w:pPr>
            <w:r>
              <w:rPr>
                <w:rFonts w:hint="eastAsia" w:ascii="宋体" w:hAnsi="宋体" w:eastAsia="等线" w:cs="宋体"/>
                <w:bCs/>
                <w:szCs w:val="21"/>
              </w:rPr>
              <w:t>所属专业大类（代码）</w:t>
            </w:r>
          </w:p>
        </w:tc>
        <w:tc>
          <w:tcPr>
            <w:tcW w:w="6795" w:type="dxa"/>
            <w:vAlign w:val="center"/>
          </w:tcPr>
          <w:p w14:paraId="3D9E4436">
            <w:pPr>
              <w:overflowPunct w:val="0"/>
              <w:spacing w:line="240" w:lineRule="auto"/>
              <w:ind w:firstLine="0" w:firstLineChars="0"/>
              <w:jc w:val="center"/>
              <w:rPr>
                <w:rFonts w:ascii="宋体" w:hAnsi="宋体" w:eastAsia="等线" w:cs="宋体"/>
                <w:bCs/>
                <w:szCs w:val="21"/>
              </w:rPr>
            </w:pPr>
            <w:r>
              <w:rPr>
                <w:rFonts w:hint="eastAsia" w:ascii="宋体" w:hAnsi="宋体" w:eastAsia="等线" w:cs="宋体"/>
                <w:bCs/>
                <w:szCs w:val="21"/>
              </w:rPr>
              <w:t>电子与信息大类（71）</w:t>
            </w:r>
          </w:p>
        </w:tc>
      </w:tr>
      <w:tr w14:paraId="44939B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2" w:type="dxa"/>
            <w:vAlign w:val="center"/>
          </w:tcPr>
          <w:p w14:paraId="741AC036">
            <w:pPr>
              <w:overflowPunct w:val="0"/>
              <w:spacing w:line="240" w:lineRule="auto"/>
              <w:ind w:firstLine="0" w:firstLineChars="0"/>
              <w:jc w:val="center"/>
              <w:rPr>
                <w:rFonts w:ascii="宋体" w:hAnsi="宋体" w:eastAsia="等线" w:cs="宋体"/>
                <w:bCs/>
                <w:szCs w:val="21"/>
              </w:rPr>
            </w:pPr>
            <w:r>
              <w:rPr>
                <w:rFonts w:hint="eastAsia" w:ascii="宋体" w:hAnsi="宋体" w:eastAsia="等线" w:cs="宋体"/>
                <w:bCs/>
                <w:szCs w:val="21"/>
                <w:lang w:val="en-US" w:eastAsia="zh-CN"/>
              </w:rPr>
              <w:t>所属专业</w:t>
            </w:r>
            <w:r>
              <w:rPr>
                <w:rFonts w:hint="eastAsia" w:ascii="宋体" w:hAnsi="宋体" w:eastAsia="等线" w:cs="宋体"/>
                <w:bCs/>
                <w:szCs w:val="21"/>
              </w:rPr>
              <w:t>类（</w:t>
            </w:r>
            <w:r>
              <w:rPr>
                <w:rFonts w:ascii="宋体" w:hAnsi="宋体" w:eastAsia="等线" w:cs="宋体"/>
                <w:bCs/>
                <w:szCs w:val="21"/>
              </w:rPr>
              <w:t>76</w:t>
            </w:r>
            <w:r>
              <w:rPr>
                <w:rFonts w:hint="eastAsia" w:ascii="宋体" w:hAnsi="宋体" w:eastAsia="等线" w:cs="宋体"/>
                <w:bCs/>
                <w:szCs w:val="21"/>
              </w:rPr>
              <w:t>）</w:t>
            </w:r>
          </w:p>
        </w:tc>
        <w:tc>
          <w:tcPr>
            <w:tcW w:w="6795" w:type="dxa"/>
            <w:vAlign w:val="center"/>
          </w:tcPr>
          <w:p w14:paraId="736D36E2">
            <w:pPr>
              <w:overflowPunct w:val="0"/>
              <w:spacing w:line="240" w:lineRule="auto"/>
              <w:ind w:firstLine="0" w:firstLineChars="0"/>
              <w:jc w:val="center"/>
              <w:rPr>
                <w:rFonts w:ascii="宋体" w:hAnsi="宋体" w:eastAsia="等线" w:cs="宋体"/>
                <w:bCs/>
                <w:szCs w:val="21"/>
              </w:rPr>
            </w:pPr>
            <w:r>
              <w:rPr>
                <w:rFonts w:hint="eastAsia" w:ascii="宋体" w:hAnsi="宋体" w:eastAsia="等线" w:cs="宋体"/>
                <w:bCs/>
                <w:szCs w:val="21"/>
              </w:rPr>
              <w:t>计算机类（7102</w:t>
            </w:r>
            <w:r>
              <w:rPr>
                <w:rFonts w:ascii="宋体" w:hAnsi="宋体" w:eastAsia="等线" w:cs="宋体"/>
                <w:bCs/>
                <w:szCs w:val="21"/>
              </w:rPr>
              <w:t>）</w:t>
            </w:r>
          </w:p>
        </w:tc>
      </w:tr>
      <w:tr w14:paraId="4F47CF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2" w:type="dxa"/>
            <w:vAlign w:val="center"/>
          </w:tcPr>
          <w:p w14:paraId="26603563">
            <w:pPr>
              <w:overflowPunct w:val="0"/>
              <w:spacing w:line="240" w:lineRule="auto"/>
              <w:ind w:firstLine="0" w:firstLineChars="0"/>
              <w:jc w:val="center"/>
              <w:rPr>
                <w:rFonts w:ascii="宋体" w:hAnsi="宋体" w:eastAsia="等线" w:cs="宋体"/>
                <w:bCs/>
                <w:szCs w:val="21"/>
              </w:rPr>
            </w:pPr>
            <w:r>
              <w:rPr>
                <w:rFonts w:hint="eastAsia" w:ascii="宋体" w:hAnsi="宋体" w:eastAsia="等线" w:cs="宋体"/>
                <w:bCs/>
                <w:szCs w:val="21"/>
              </w:rPr>
              <w:t>对应行业（代码）</w:t>
            </w:r>
          </w:p>
        </w:tc>
        <w:tc>
          <w:tcPr>
            <w:tcW w:w="6795" w:type="dxa"/>
            <w:vAlign w:val="center"/>
          </w:tcPr>
          <w:p w14:paraId="1275C45F">
            <w:pPr>
              <w:overflowPunct w:val="0"/>
              <w:spacing w:line="240" w:lineRule="auto"/>
              <w:ind w:firstLine="0" w:firstLineChars="0"/>
              <w:rPr>
                <w:rFonts w:ascii="宋体" w:hAnsi="宋体" w:eastAsia="等线" w:cs="宋体"/>
                <w:bCs/>
                <w:szCs w:val="21"/>
              </w:rPr>
            </w:pPr>
            <w:r>
              <w:rPr>
                <w:rFonts w:hint="eastAsia" w:ascii="宋体" w:hAnsi="宋体" w:eastAsia="等线" w:cs="宋体"/>
                <w:bCs/>
                <w:szCs w:val="21"/>
              </w:rPr>
              <w:t>印刷业（231）、广告业（725）、出版业（862）</w:t>
            </w:r>
          </w:p>
        </w:tc>
      </w:tr>
      <w:tr w14:paraId="7D89C0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2" w:type="dxa"/>
            <w:vAlign w:val="center"/>
          </w:tcPr>
          <w:p w14:paraId="63703D1B">
            <w:pPr>
              <w:overflowPunct w:val="0"/>
              <w:spacing w:line="240" w:lineRule="auto"/>
              <w:ind w:firstLine="0" w:firstLineChars="0"/>
              <w:jc w:val="center"/>
              <w:rPr>
                <w:rFonts w:ascii="宋体" w:hAnsi="宋体" w:eastAsia="等线" w:cs="宋体"/>
                <w:bCs/>
                <w:szCs w:val="21"/>
              </w:rPr>
            </w:pPr>
            <w:r>
              <w:rPr>
                <w:rFonts w:hint="eastAsia" w:ascii="宋体" w:hAnsi="宋体" w:eastAsia="等线" w:cs="宋体"/>
                <w:bCs/>
                <w:szCs w:val="21"/>
              </w:rPr>
              <w:t>主要职业类别（代码）</w:t>
            </w:r>
          </w:p>
        </w:tc>
        <w:tc>
          <w:tcPr>
            <w:tcW w:w="6795" w:type="dxa"/>
            <w:vAlign w:val="center"/>
          </w:tcPr>
          <w:p w14:paraId="72E271C7">
            <w:pPr>
              <w:overflowPunct w:val="0"/>
              <w:spacing w:line="240" w:lineRule="auto"/>
              <w:ind w:firstLine="0" w:firstLineChars="0"/>
              <w:rPr>
                <w:rFonts w:ascii="宋体" w:hAnsi="宋体" w:eastAsia="等线" w:cs="宋体"/>
                <w:bCs/>
                <w:szCs w:val="21"/>
              </w:rPr>
            </w:pPr>
            <w:r>
              <w:rPr>
                <w:rFonts w:hint="eastAsia" w:ascii="宋体" w:hAnsi="宋体" w:eastAsia="等线" w:cs="宋体"/>
                <w:bCs/>
                <w:szCs w:val="21"/>
              </w:rPr>
              <w:t>工艺美术与创意设计专业人员（2-09-06）、编辑（2-10-02）</w:t>
            </w:r>
          </w:p>
        </w:tc>
      </w:tr>
      <w:tr w14:paraId="6D3197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2" w:type="dxa"/>
            <w:vAlign w:val="center"/>
          </w:tcPr>
          <w:p w14:paraId="523260F3">
            <w:pPr>
              <w:overflowPunct w:val="0"/>
              <w:spacing w:line="240" w:lineRule="auto"/>
              <w:ind w:firstLine="0" w:firstLineChars="0"/>
              <w:jc w:val="center"/>
              <w:rPr>
                <w:rFonts w:ascii="宋体" w:hAnsi="宋体" w:eastAsia="等线" w:cs="宋体"/>
                <w:bCs/>
                <w:szCs w:val="21"/>
              </w:rPr>
            </w:pPr>
            <w:r>
              <w:rPr>
                <w:rFonts w:hint="eastAsia" w:ascii="宋体" w:hAnsi="宋体" w:eastAsia="等线" w:cs="宋体"/>
                <w:bCs/>
                <w:szCs w:val="21"/>
              </w:rPr>
              <w:t>主要岗位（群）或技术领域</w:t>
            </w:r>
          </w:p>
        </w:tc>
        <w:tc>
          <w:tcPr>
            <w:tcW w:w="6795" w:type="dxa"/>
            <w:vAlign w:val="center"/>
          </w:tcPr>
          <w:p w14:paraId="26D319CD">
            <w:pPr>
              <w:overflowPunct w:val="0"/>
              <w:spacing w:line="240" w:lineRule="auto"/>
              <w:ind w:firstLine="0" w:firstLineChars="0"/>
              <w:rPr>
                <w:rFonts w:ascii="宋体" w:hAnsi="宋体" w:eastAsia="等线" w:cs="宋体"/>
                <w:bCs/>
                <w:szCs w:val="21"/>
              </w:rPr>
            </w:pPr>
            <w:r>
              <w:rPr>
                <w:rFonts w:hint="eastAsia" w:ascii="宋体" w:hAnsi="宋体" w:eastAsia="等线" w:cs="宋体"/>
                <w:bCs/>
                <w:szCs w:val="21"/>
              </w:rPr>
              <w:t>商业空间美化、广告设计、美术编辑、数字媒体艺术</w:t>
            </w:r>
          </w:p>
          <w:p w14:paraId="30B58711">
            <w:pPr>
              <w:overflowPunct w:val="0"/>
              <w:spacing w:line="240" w:lineRule="auto"/>
              <w:ind w:firstLine="0" w:firstLineChars="0"/>
              <w:rPr>
                <w:rFonts w:ascii="宋体" w:hAnsi="宋体" w:eastAsia="等线" w:cs="宋体"/>
                <w:bCs/>
                <w:szCs w:val="21"/>
              </w:rPr>
            </w:pPr>
            <w:r>
              <w:rPr>
                <w:rFonts w:hint="eastAsia" w:ascii="宋体" w:hAnsi="宋体" w:eastAsia="等线" w:cs="宋体"/>
                <w:bCs/>
                <w:szCs w:val="21"/>
              </w:rPr>
              <w:t>设计……</w:t>
            </w:r>
          </w:p>
        </w:tc>
      </w:tr>
      <w:tr w14:paraId="37B0B8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2" w:type="dxa"/>
            <w:vAlign w:val="center"/>
          </w:tcPr>
          <w:p w14:paraId="3DA0FAD2">
            <w:pPr>
              <w:overflowPunct w:val="0"/>
              <w:spacing w:line="240" w:lineRule="auto"/>
              <w:ind w:firstLine="0" w:firstLineChars="0"/>
              <w:jc w:val="center"/>
              <w:rPr>
                <w:rFonts w:ascii="宋体" w:hAnsi="宋体" w:eastAsia="等线" w:cs="宋体"/>
                <w:bCs/>
                <w:szCs w:val="21"/>
              </w:rPr>
            </w:pPr>
            <w:r>
              <w:rPr>
                <w:rFonts w:hint="eastAsia" w:ascii="宋体" w:hAnsi="宋体" w:eastAsia="等线" w:cs="宋体"/>
                <w:bCs/>
                <w:szCs w:val="21"/>
              </w:rPr>
              <w:t>职业类证书</w:t>
            </w:r>
          </w:p>
        </w:tc>
        <w:tc>
          <w:tcPr>
            <w:tcW w:w="6795" w:type="dxa"/>
            <w:vAlign w:val="center"/>
          </w:tcPr>
          <w:p w14:paraId="58A45931">
            <w:pPr>
              <w:overflowPunct w:val="0"/>
              <w:spacing w:line="240" w:lineRule="auto"/>
              <w:ind w:firstLine="0" w:firstLineChars="0"/>
              <w:rPr>
                <w:rFonts w:ascii="宋体" w:hAnsi="宋体" w:eastAsia="等线" w:cs="宋体"/>
                <w:bCs/>
                <w:szCs w:val="21"/>
              </w:rPr>
            </w:pPr>
            <w:r>
              <w:rPr>
                <w:rFonts w:hint="eastAsia" w:ascii="宋体" w:hAnsi="宋体" w:eastAsia="等线" w:cs="宋体"/>
                <w:bCs/>
                <w:szCs w:val="21"/>
              </w:rPr>
              <w:t>产品创意设计、文创产品数字化设计、界面设计……</w:t>
            </w:r>
          </w:p>
        </w:tc>
      </w:tr>
    </w:tbl>
    <w:p w14:paraId="4A5EFC1F">
      <w:pPr>
        <w:ind w:firstLine="0" w:firstLineChars="0"/>
      </w:pPr>
    </w:p>
    <w:p w14:paraId="553F37A8">
      <w:pPr>
        <w:pStyle w:val="2"/>
        <w:ind w:firstLine="720"/>
      </w:pPr>
      <w:bookmarkStart w:id="18" w:name="_Toc213423788"/>
      <w:bookmarkStart w:id="19" w:name="_Toc212238048"/>
      <w:bookmarkStart w:id="20" w:name="_Toc77416427"/>
      <w:r>
        <w:rPr>
          <w:rFonts w:hint="eastAsia"/>
        </w:rPr>
        <w:t>六</w:t>
      </w:r>
      <w:r>
        <w:t>、培养目标</w:t>
      </w:r>
      <w:bookmarkEnd w:id="18"/>
      <w:bookmarkEnd w:id="19"/>
      <w:bookmarkEnd w:id="20"/>
    </w:p>
    <w:p w14:paraId="7E1DA5F0">
      <w:pPr>
        <w:ind w:firstLine="480"/>
      </w:pPr>
      <w:bookmarkStart w:id="21" w:name="_Toc77416429"/>
      <w:r>
        <w:rPr>
          <w:rFonts w:hint="eastAsia"/>
        </w:rPr>
        <w:t>总体目标：本专业深入贯彻落实习近平总书记关于职业教育要“坚持产教融合、校企合作，坚持工学结合、知行合一”以及“培养更多高素质技术技能人才、能工巧匠、大国工匠”的重要指示精神，致力于培养德技并修、综合素质较高的应用型技能人才。</w:t>
      </w:r>
    </w:p>
    <w:p w14:paraId="34E9C4DD">
      <w:pPr>
        <w:ind w:firstLine="480"/>
      </w:pPr>
      <w:r>
        <w:rPr>
          <w:rFonts w:hint="eastAsia"/>
        </w:rPr>
        <w:t>专业目标：毕业生不仅具备扎实的专业技能，能够熟练运用设计软件开展平面图像绘制、编辑与处理等操作，独立完成手绘标志、包装平面图、立面图以及计算机平面相关手绘项目，并可独立承担平面设计行业的相关制作项目与任务;更注重培养其工匠精神、创新能力和职业素养,使其成为适应经济社会发展需求、服务现代化产业体系建设，能够立足岗位、精益求精、追求卓越的新时代高素质技术技能人才。</w:t>
      </w:r>
    </w:p>
    <w:p w14:paraId="101C4AE1">
      <w:pPr>
        <w:pStyle w:val="2"/>
        <w:ind w:firstLine="720"/>
      </w:pPr>
      <w:bookmarkStart w:id="22" w:name="_Toc212238049"/>
      <w:bookmarkStart w:id="23" w:name="_Toc213423789"/>
      <w:r>
        <w:rPr>
          <w:rFonts w:hint="eastAsia"/>
        </w:rPr>
        <w:t>七、培养</w:t>
      </w:r>
      <w:r>
        <w:t>规格</w:t>
      </w:r>
      <w:bookmarkEnd w:id="21"/>
      <w:bookmarkEnd w:id="22"/>
      <w:bookmarkEnd w:id="23"/>
    </w:p>
    <w:p w14:paraId="47D428D3">
      <w:pPr>
        <w:ind w:firstLine="480"/>
      </w:pPr>
      <w:r>
        <w:rPr>
          <w:rFonts w:hint="eastAsia"/>
        </w:rPr>
        <w:t>本专业学生应全面提升知识、能力、素质，筑牢科学文化知识和专业类通用技术技能基础，掌握并实际运用岗位(群)需要的专业技术技能，实现德智体美劳全面发展，总体上须达到以下要求:</w:t>
      </w:r>
    </w:p>
    <w:p w14:paraId="20C9D2FF">
      <w:pPr>
        <w:pStyle w:val="55"/>
        <w:numPr>
          <w:ilvl w:val="0"/>
          <w:numId w:val="2"/>
        </w:numPr>
        <w:ind w:left="0" w:firstLine="198" w:firstLineChars="0"/>
      </w:pPr>
      <w:r>
        <w:rPr>
          <w:rFonts w:hint="eastAsia"/>
        </w:rPr>
        <w:t>坚定拥护中国共产党领导和中国特色社会主义制度，以习近平新时代中国特色社会主义思想为指导，践行社会主义核心价值观,具有坚定的理想信念、深厚的爱国情感和中华民族自豪感；</w:t>
      </w:r>
    </w:p>
    <w:p w14:paraId="59153AA4">
      <w:pPr>
        <w:pStyle w:val="55"/>
        <w:numPr>
          <w:ilvl w:val="0"/>
          <w:numId w:val="2"/>
        </w:numPr>
        <w:ind w:left="0" w:firstLine="198" w:firstLineChars="0"/>
      </w:pPr>
      <w:r>
        <w:rPr>
          <w:rFonts w:hint="eastAsia"/>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64D6D863">
      <w:pPr>
        <w:pStyle w:val="55"/>
        <w:numPr>
          <w:ilvl w:val="0"/>
          <w:numId w:val="2"/>
        </w:numPr>
        <w:ind w:left="0" w:firstLine="198" w:firstLineChars="0"/>
      </w:pPr>
      <w:r>
        <w:rPr>
          <w:rFonts w:hint="eastAsia"/>
        </w:rPr>
        <w:t>掌握支撑本专业学习和可持续发展必备的语文、历史、数学、外语(英语等)、信息技术等文化基础知识，具有良好的人文素养与科学索养，具备职业生涯规划能力；</w:t>
      </w:r>
    </w:p>
    <w:p w14:paraId="6078A848">
      <w:pPr>
        <w:pStyle w:val="55"/>
        <w:numPr>
          <w:ilvl w:val="0"/>
          <w:numId w:val="2"/>
        </w:numPr>
        <w:ind w:left="0" w:firstLine="198" w:firstLineChars="0"/>
      </w:pPr>
      <w:r>
        <w:rPr>
          <w:rFonts w:hint="eastAsia"/>
        </w:rPr>
        <w:t>具有良好的语言表达能力、文字表达能力、沟通合作能力，具有较强的集体意识和团队合作意识，学习1门外语并结合本专业加以运用；</w:t>
      </w:r>
    </w:p>
    <w:p w14:paraId="3E1C9BDE">
      <w:pPr>
        <w:pStyle w:val="55"/>
        <w:numPr>
          <w:ilvl w:val="0"/>
          <w:numId w:val="2"/>
        </w:numPr>
        <w:ind w:left="0" w:firstLine="198" w:firstLineChars="0"/>
      </w:pPr>
      <w:r>
        <w:rPr>
          <w:rFonts w:hint="eastAsia"/>
        </w:rPr>
        <w:t>掌握视觉设计基础理论：熟练掌握色彩、构成、版式设计等核心视觉理论，具备扎实的草图绘制能力，能快速将设计构思视觉化。</w:t>
      </w:r>
    </w:p>
    <w:p w14:paraId="25C5DC2A">
      <w:pPr>
        <w:pStyle w:val="55"/>
        <w:numPr>
          <w:ilvl w:val="0"/>
          <w:numId w:val="2"/>
        </w:numPr>
        <w:ind w:left="0" w:firstLine="198" w:firstLineChars="0"/>
      </w:pPr>
      <w:r>
        <w:rPr>
          <w:rFonts w:hint="eastAsia"/>
        </w:rPr>
        <w:t>精通平面设计与制作软件：熟练掌握行业主流图像处理、矢量绘图及专业排版软件，具备完成广告设计、品牌形象、商品包装等各类平面设计项目的技术执行能力。</w:t>
      </w:r>
    </w:p>
    <w:p w14:paraId="26C39A10">
      <w:pPr>
        <w:pStyle w:val="55"/>
        <w:numPr>
          <w:ilvl w:val="0"/>
          <w:numId w:val="2"/>
        </w:numPr>
        <w:ind w:left="0" w:firstLine="198" w:firstLineChars="0"/>
      </w:pPr>
      <w:r>
        <w:rPr>
          <w:rFonts w:hint="eastAsia"/>
        </w:rPr>
        <w:t>具备数字化影像处理能力：掌握摄影摄像基础技能及数码照片的艺术处理与优化能力，能够独立完成商业级图片的拍摄与后期精修。</w:t>
      </w:r>
    </w:p>
    <w:p w14:paraId="6656603F">
      <w:pPr>
        <w:pStyle w:val="55"/>
        <w:numPr>
          <w:ilvl w:val="0"/>
          <w:numId w:val="2"/>
        </w:numPr>
        <w:ind w:left="0" w:firstLine="198" w:firstLineChars="0"/>
      </w:pPr>
      <w:r>
        <w:rPr>
          <w:rFonts w:hint="eastAsia"/>
        </w:rPr>
        <w:t>掌握网页与界面视觉设计技能：理解网页设计与制作流程，具备网页美工与用户界面视觉元素的设计能力，能够实现设计稿的Web端标准化输出。</w:t>
      </w:r>
    </w:p>
    <w:p w14:paraId="13E1C9C5">
      <w:pPr>
        <w:pStyle w:val="55"/>
        <w:numPr>
          <w:ilvl w:val="0"/>
          <w:numId w:val="2"/>
        </w:numPr>
        <w:ind w:left="0" w:firstLine="198" w:firstLineChars="0"/>
      </w:pPr>
      <w:r>
        <w:rPr>
          <w:rFonts w:hint="eastAsia"/>
        </w:rPr>
        <w:t>贯通平面设计项目全流程：能够将上述技能综合运用于从市场分析、创意构思、设计执行到印前准备或线上发布的完整项目流程中，具备解决实际问题的综合技术能力。</w:t>
      </w:r>
    </w:p>
    <w:p w14:paraId="526E5D30">
      <w:pPr>
        <w:pStyle w:val="55"/>
        <w:numPr>
          <w:ilvl w:val="0"/>
          <w:numId w:val="2"/>
        </w:numPr>
        <w:ind w:left="0" w:firstLine="198" w:firstLineChars="0"/>
      </w:pPr>
      <w:r>
        <w:rPr>
          <w:rFonts w:hint="eastAsia"/>
        </w:rPr>
        <w:t>具备终身学习与市场洞察素养：能够主动追踪视觉设计流行趋势与新媒体技术动态，具备持续学习新风格、新软件的能力，以适应市场需求的快速变化。</w:t>
      </w:r>
    </w:p>
    <w:p w14:paraId="0ED60F79">
      <w:pPr>
        <w:pStyle w:val="55"/>
        <w:numPr>
          <w:ilvl w:val="0"/>
          <w:numId w:val="2"/>
        </w:numPr>
        <w:ind w:left="0" w:firstLine="198" w:firstLineChars="0"/>
      </w:pPr>
      <w:r>
        <w:rPr>
          <w:rFonts w:hint="eastAsia"/>
        </w:rPr>
        <w:t>保持身心健康与客户沟通韧性：具备良好的情绪管理与抗压能力，能够以积极心态应对设计修改意见和客户反馈，保持稳定的创作状态与服务精神。</w:t>
      </w:r>
    </w:p>
    <w:p w14:paraId="748F5104">
      <w:pPr>
        <w:pStyle w:val="55"/>
        <w:numPr>
          <w:ilvl w:val="0"/>
          <w:numId w:val="2"/>
        </w:numPr>
        <w:ind w:left="0" w:firstLine="198" w:firstLineChars="0"/>
      </w:pPr>
      <w:r>
        <w:rPr>
          <w:rFonts w:hint="eastAsia"/>
        </w:rPr>
        <w:t>提升商业审美与文化融合素养：具备优秀的商业审美判断力，能够将文化元素、品牌调性与市场需求相结合，创作出兼具艺术美感与商业价值的视觉作品。</w:t>
      </w:r>
    </w:p>
    <w:p w14:paraId="4578AC68">
      <w:pPr>
        <w:pStyle w:val="55"/>
        <w:numPr>
          <w:ilvl w:val="0"/>
          <w:numId w:val="2"/>
        </w:numPr>
        <w:ind w:left="0" w:firstLine="198" w:firstLineChars="0"/>
      </w:pPr>
      <w:r>
        <w:rPr>
          <w:rFonts w:hint="eastAsia"/>
        </w:rPr>
        <w:t>弘扬精益求精的工匠精神：在字体选择、色彩管理、版面构图等细节上追求极致，对输出品质有严苛要求，确保设计成品的精准与完美。</w:t>
      </w:r>
    </w:p>
    <w:p w14:paraId="2868B2B5">
      <w:pPr>
        <w:pStyle w:val="55"/>
        <w:numPr>
          <w:ilvl w:val="0"/>
          <w:numId w:val="2"/>
        </w:numPr>
        <w:ind w:left="0" w:firstLine="198" w:firstLineChars="0"/>
      </w:pPr>
      <w:r>
        <w:rPr>
          <w:rFonts w:hint="eastAsia"/>
        </w:rPr>
        <w:t>培养守时高效的劳动精神：养成高效的时间管理习惯，严格遵守项目周期，以高度的敬业精神保障设计任务的准时交付。</w:t>
      </w:r>
    </w:p>
    <w:p w14:paraId="33620338">
      <w:pPr>
        <w:pStyle w:val="55"/>
        <w:numPr>
          <w:ilvl w:val="0"/>
          <w:numId w:val="2"/>
        </w:numPr>
        <w:ind w:left="0" w:firstLine="198" w:firstLineChars="0"/>
      </w:pPr>
      <w:r>
        <w:rPr>
          <w:rFonts w:hint="eastAsia"/>
        </w:rPr>
        <w:t>树立团队协作与有效沟通意识：深刻理解设计师在项目中的角色，具备清晰阐述设计理念、精准理解项目需求并与团队及客户进行高效协作沟通的能力。</w:t>
      </w:r>
    </w:p>
    <w:p w14:paraId="191AD728">
      <w:pPr>
        <w:pStyle w:val="2"/>
        <w:ind w:firstLine="720"/>
      </w:pPr>
      <w:bookmarkStart w:id="24" w:name="_Toc77416433"/>
      <w:bookmarkStart w:id="25" w:name="_Toc213423790"/>
      <w:bookmarkStart w:id="26" w:name="_Toc212238050"/>
      <w:r>
        <w:rPr>
          <w:rFonts w:hint="eastAsia"/>
        </w:rPr>
        <w:t>八</w:t>
      </w:r>
      <w:r>
        <w:t>、课程</w:t>
      </w:r>
      <w:r>
        <w:rPr>
          <w:rFonts w:hint="eastAsia"/>
        </w:rPr>
        <w:t>设置及</w:t>
      </w:r>
      <w:bookmarkEnd w:id="24"/>
      <w:r>
        <w:rPr>
          <w:rFonts w:hint="eastAsia"/>
        </w:rPr>
        <w:t>学时安排</w:t>
      </w:r>
      <w:bookmarkEnd w:id="25"/>
      <w:bookmarkEnd w:id="26"/>
    </w:p>
    <w:p w14:paraId="64F7CB67">
      <w:pPr>
        <w:pStyle w:val="3"/>
      </w:pPr>
      <w:bookmarkStart w:id="27" w:name="_Toc213423791"/>
      <w:bookmarkStart w:id="28" w:name="_Toc1916"/>
      <w:r>
        <w:rPr>
          <w:rFonts w:hint="eastAsia"/>
        </w:rPr>
        <w:t>（一）</w:t>
      </w:r>
      <w:r>
        <w:t>课程设置</w:t>
      </w:r>
      <w:bookmarkEnd w:id="27"/>
      <w:bookmarkEnd w:id="28"/>
    </w:p>
    <w:p w14:paraId="10C49690">
      <w:pPr>
        <w:ind w:firstLine="480"/>
      </w:pPr>
      <w:r>
        <w:t>本专业课程设置分为公共基础课</w:t>
      </w:r>
      <w:r>
        <w:rPr>
          <w:rFonts w:hint="eastAsia"/>
        </w:rPr>
        <w:t>、专业（技能）课和拓展课</w:t>
      </w:r>
      <w:r>
        <w:t>。</w:t>
      </w:r>
      <w:bookmarkStart w:id="29" w:name="_Hlk212155637"/>
      <w:r>
        <w:rPr>
          <w:rFonts w:hint="eastAsia"/>
        </w:rPr>
        <w:t>按照国家有关规定开齐开足公共基础课程。</w:t>
      </w:r>
    </w:p>
    <w:p w14:paraId="29F84691">
      <w:pPr>
        <w:ind w:firstLine="480"/>
      </w:pPr>
      <w:r>
        <w:rPr>
          <w:rFonts w:hint="eastAsia"/>
        </w:rPr>
        <w:t>将思想政治、语文、历史、数学、英语、信息技术、体育与健康、艺术、劳动教育等列为公共基础必修课程。</w:t>
      </w:r>
    </w:p>
    <w:p w14:paraId="48C72222">
      <w:pPr>
        <w:ind w:firstLine="480"/>
      </w:pPr>
      <w:r>
        <w:rPr>
          <w:rFonts w:hint="eastAsia"/>
        </w:rPr>
        <w:t>公共选修课包括：职业素养、中华传统文化等延展性理实一体化课程。</w:t>
      </w:r>
    </w:p>
    <w:bookmarkEnd w:id="29"/>
    <w:p w14:paraId="46BB1E92">
      <w:pPr>
        <w:ind w:firstLine="480"/>
      </w:pPr>
      <w:r>
        <w:rPr>
          <w:rFonts w:hint="eastAsia"/>
        </w:rPr>
        <w:t>专业基础课包括：素描（速写）、色彩、构成、photoshop图像处理；</w:t>
      </w:r>
    </w:p>
    <w:p w14:paraId="511E5A82">
      <w:pPr>
        <w:ind w:firstLine="480"/>
      </w:pPr>
      <w:r>
        <w:rPr>
          <w:rFonts w:hint="eastAsia"/>
        </w:rPr>
        <w:t>专业核心课包括：网页动画设计、摄影基础、字体设计、版式设计、VI广告设计、UI设计、标志设计；</w:t>
      </w:r>
    </w:p>
    <w:p w14:paraId="3C5D9AB7">
      <w:pPr>
        <w:ind w:firstLine="480"/>
      </w:pPr>
      <w:r>
        <w:rPr>
          <w:rFonts w:hint="eastAsia"/>
        </w:rPr>
        <w:t>专业拓展课包括：书籍设计、包装设计、手绘pop海报设计、H</w:t>
      </w:r>
      <w:r>
        <w:t>5</w:t>
      </w:r>
      <w:r>
        <w:rPr>
          <w:rFonts w:hint="eastAsia"/>
        </w:rPr>
        <w:t>制作；手工制作、CAD平面制图。</w:t>
      </w:r>
    </w:p>
    <w:p w14:paraId="6764A1B0">
      <w:pPr>
        <w:ind w:firstLine="480"/>
      </w:pPr>
      <w:r>
        <w:t>含校内外实训、</w:t>
      </w:r>
      <w:r>
        <w:rPr>
          <w:rFonts w:hint="eastAsia"/>
        </w:rPr>
        <w:t>岗位</w:t>
      </w:r>
      <w:r>
        <w:t>实习等多种形式。</w:t>
      </w:r>
      <w:bookmarkStart w:id="30" w:name="_Toc77416436"/>
    </w:p>
    <w:p w14:paraId="7694CC55">
      <w:pPr>
        <w:pStyle w:val="4"/>
      </w:pPr>
      <w:bookmarkStart w:id="31" w:name="_Toc212238051"/>
      <w:r>
        <w:rPr>
          <w:rFonts w:hint="eastAsia"/>
        </w:rPr>
        <w:t>1</w:t>
      </w:r>
      <w:bookmarkEnd w:id="30"/>
      <w:r>
        <w:rPr>
          <w:rFonts w:hint="eastAsia"/>
        </w:rPr>
        <w:t>.公共基础课</w:t>
      </w:r>
      <w:bookmarkEnd w:id="31"/>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077"/>
        <w:gridCol w:w="2896"/>
        <w:gridCol w:w="4000"/>
      </w:tblGrid>
      <w:tr w14:paraId="1B05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22" w:type="pct"/>
            <w:vAlign w:val="center"/>
          </w:tcPr>
          <w:p w14:paraId="07686F1D">
            <w:pPr>
              <w:overflowPunct w:val="0"/>
              <w:spacing w:line="240" w:lineRule="auto"/>
              <w:ind w:firstLine="0" w:firstLineChars="0"/>
              <w:jc w:val="center"/>
              <w:rPr>
                <w:rFonts w:ascii="宋体" w:hAnsi="宋体" w:eastAsia="等线" w:cs="宋体"/>
                <w:b/>
                <w:bCs/>
                <w:szCs w:val="21"/>
              </w:rPr>
            </w:pPr>
            <w:r>
              <w:rPr>
                <w:rFonts w:hint="eastAsia" w:ascii="宋体" w:hAnsi="宋体" w:eastAsia="等线" w:cs="宋体"/>
                <w:b/>
                <w:bCs/>
                <w:szCs w:val="21"/>
              </w:rPr>
              <w:t>序号</w:t>
            </w:r>
          </w:p>
        </w:tc>
        <w:tc>
          <w:tcPr>
            <w:tcW w:w="632" w:type="pct"/>
            <w:vAlign w:val="center"/>
          </w:tcPr>
          <w:p w14:paraId="442B6361">
            <w:pPr>
              <w:overflowPunct w:val="0"/>
              <w:spacing w:line="240" w:lineRule="auto"/>
              <w:ind w:firstLine="0" w:firstLineChars="0"/>
              <w:jc w:val="center"/>
              <w:rPr>
                <w:rFonts w:ascii="宋体" w:hAnsi="宋体" w:eastAsia="等线" w:cs="宋体"/>
                <w:b/>
                <w:bCs/>
                <w:szCs w:val="21"/>
              </w:rPr>
            </w:pPr>
            <w:r>
              <w:rPr>
                <w:rFonts w:hint="eastAsia" w:ascii="宋体" w:hAnsi="宋体" w:eastAsia="等线" w:cs="宋体"/>
                <w:b/>
                <w:bCs/>
                <w:szCs w:val="21"/>
              </w:rPr>
              <w:t>课程名称</w:t>
            </w:r>
          </w:p>
        </w:tc>
        <w:tc>
          <w:tcPr>
            <w:tcW w:w="1699" w:type="pct"/>
            <w:vAlign w:val="center"/>
          </w:tcPr>
          <w:p w14:paraId="4D720B2D">
            <w:pPr>
              <w:overflowPunct w:val="0"/>
              <w:spacing w:line="240" w:lineRule="auto"/>
              <w:ind w:firstLine="0" w:firstLineChars="0"/>
              <w:jc w:val="center"/>
              <w:rPr>
                <w:rFonts w:ascii="宋体" w:hAnsi="宋体" w:eastAsia="等线" w:cs="宋体"/>
                <w:b/>
                <w:bCs/>
                <w:szCs w:val="21"/>
              </w:rPr>
            </w:pPr>
            <w:r>
              <w:rPr>
                <w:rFonts w:hint="eastAsia" w:ascii="宋体" w:hAnsi="宋体" w:eastAsia="等线" w:cs="宋体"/>
                <w:b/>
                <w:bCs/>
                <w:szCs w:val="21"/>
              </w:rPr>
              <w:t>课程目标</w:t>
            </w:r>
          </w:p>
        </w:tc>
        <w:tc>
          <w:tcPr>
            <w:tcW w:w="2346" w:type="pct"/>
            <w:vAlign w:val="center"/>
          </w:tcPr>
          <w:p w14:paraId="27B63A83">
            <w:pPr>
              <w:overflowPunct w:val="0"/>
              <w:spacing w:line="240" w:lineRule="auto"/>
              <w:ind w:firstLine="0" w:firstLineChars="0"/>
              <w:jc w:val="center"/>
              <w:rPr>
                <w:rFonts w:ascii="宋体" w:hAnsi="宋体" w:eastAsia="等线" w:cs="宋体"/>
                <w:b/>
                <w:bCs/>
                <w:szCs w:val="21"/>
              </w:rPr>
            </w:pPr>
            <w:r>
              <w:rPr>
                <w:rFonts w:hint="eastAsia" w:ascii="宋体" w:hAnsi="宋体" w:eastAsia="等线" w:cs="宋体"/>
                <w:b/>
                <w:bCs/>
                <w:szCs w:val="21"/>
              </w:rPr>
              <w:t>主要内容</w:t>
            </w:r>
          </w:p>
          <w:p w14:paraId="087253CA">
            <w:pPr>
              <w:overflowPunct w:val="0"/>
              <w:spacing w:line="240" w:lineRule="auto"/>
              <w:ind w:firstLine="0" w:firstLineChars="0"/>
              <w:jc w:val="center"/>
              <w:rPr>
                <w:rFonts w:ascii="宋体" w:hAnsi="宋体" w:eastAsia="等线" w:cs="宋体"/>
                <w:b/>
                <w:bCs/>
                <w:szCs w:val="21"/>
              </w:rPr>
            </w:pPr>
            <w:r>
              <w:rPr>
                <w:rFonts w:hint="eastAsia" w:ascii="宋体" w:hAnsi="宋体" w:eastAsia="等线" w:cs="宋体"/>
                <w:b/>
                <w:bCs/>
                <w:szCs w:val="21"/>
              </w:rPr>
              <w:t>教学要求</w:t>
            </w:r>
          </w:p>
        </w:tc>
      </w:tr>
      <w:tr w14:paraId="0721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322" w:type="pct"/>
            <w:vAlign w:val="center"/>
          </w:tcPr>
          <w:p w14:paraId="36199ACB">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w:t>
            </w:r>
          </w:p>
        </w:tc>
        <w:tc>
          <w:tcPr>
            <w:tcW w:w="632" w:type="pct"/>
            <w:vAlign w:val="center"/>
          </w:tcPr>
          <w:p w14:paraId="01F6F557">
            <w:pPr>
              <w:overflowPunct w:val="0"/>
              <w:ind w:firstLine="480"/>
              <w:jc w:val="center"/>
              <w:rPr>
                <w:rFonts w:ascii="宋体" w:hAnsi="宋体" w:eastAsia="等线" w:cs="宋体"/>
                <w:bCs/>
              </w:rPr>
            </w:pPr>
            <w:r>
              <w:rPr>
                <w:rFonts w:hint="eastAsia" w:ascii="宋体" w:hAnsi="宋体" w:eastAsia="等线" w:cs="宋体"/>
                <w:bCs/>
              </w:rPr>
              <w:t>中国特色社会主义</w:t>
            </w:r>
          </w:p>
        </w:tc>
        <w:tc>
          <w:tcPr>
            <w:tcW w:w="1699" w:type="pct"/>
            <w:vAlign w:val="center"/>
          </w:tcPr>
          <w:p w14:paraId="4EF2C8B6">
            <w:pPr>
              <w:ind w:firstLine="480"/>
              <w:rPr>
                <w:rFonts w:ascii="等线" w:hAnsi="等线" w:eastAsia="等线"/>
              </w:rPr>
            </w:pPr>
            <w:r>
              <w:rPr>
                <w:rFonts w:hint="eastAsia" w:ascii="等线" w:hAnsi="等线" w:eastAsia="等线"/>
              </w:rPr>
              <w:t>引导学生正确认识我国发展新的历史方位和社会主要矛盾的变化，理解习近平新时代中国特色社会主义思想是党和国家必须长期坚持的指导思想；拥护党的领导，坚定中国特色社会主义道路自信、理论自信、制度自信、文化自信；树立对马克思主义的信仰、对中国特色社会主义的信念、对中华民族伟大复兴中国梦的信心。</w:t>
            </w:r>
          </w:p>
          <w:p w14:paraId="60E98E83">
            <w:pPr>
              <w:widowControl/>
              <w:ind w:firstLine="480"/>
              <w:jc w:val="left"/>
              <w:rPr>
                <w:rFonts w:ascii="宋体" w:hAnsi="宋体" w:eastAsia="等线" w:cs="宋体"/>
                <w:bCs/>
              </w:rPr>
            </w:pPr>
          </w:p>
        </w:tc>
        <w:tc>
          <w:tcPr>
            <w:tcW w:w="2346" w:type="pct"/>
            <w:vAlign w:val="center"/>
          </w:tcPr>
          <w:p w14:paraId="0FA76745">
            <w:pPr>
              <w:widowControl/>
              <w:ind w:firstLine="480"/>
              <w:jc w:val="left"/>
              <w:rPr>
                <w:rFonts w:ascii="宋体" w:hAnsi="宋体" w:eastAsia="等线" w:cs="宋体"/>
                <w:bCs/>
              </w:rPr>
            </w:pPr>
            <w:r>
              <w:rPr>
                <w:rFonts w:hint="eastAsia" w:ascii="等线" w:hAnsi="等线" w:eastAsia="等线"/>
              </w:rPr>
              <w:t>以习近平新时代中国特色社会主义思想为核心，系统阐释中国特色社会主义的开创与发展、新时代历史方位及“五位一体”总体布局。教学中应结合我国经济发展成就与财税政策实践，引导学生理解中国特色社会主义制度的显著优势，坚定“四个自信”；要求学生能联系会计职业使命，认清自身在全面建设社会主义现代化国家中的责任，将爱国情、强国志、报国行融入专业学习与未来职业发展，成为德才兼备的动漫与游戏制作专业技能人才。</w:t>
            </w:r>
          </w:p>
        </w:tc>
      </w:tr>
      <w:tr w14:paraId="7E33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22" w:type="pct"/>
            <w:vAlign w:val="center"/>
          </w:tcPr>
          <w:p w14:paraId="1027BA12">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w:t>
            </w:r>
          </w:p>
        </w:tc>
        <w:tc>
          <w:tcPr>
            <w:tcW w:w="632" w:type="pct"/>
            <w:vAlign w:val="center"/>
          </w:tcPr>
          <w:p w14:paraId="129E4F51">
            <w:pPr>
              <w:overflowPunct w:val="0"/>
              <w:ind w:firstLine="480"/>
              <w:jc w:val="center"/>
              <w:rPr>
                <w:rFonts w:ascii="宋体" w:hAnsi="宋体" w:eastAsia="等线" w:cs="宋体"/>
                <w:bCs/>
              </w:rPr>
            </w:pPr>
            <w:r>
              <w:rPr>
                <w:rFonts w:hint="eastAsia" w:ascii="宋体" w:hAnsi="宋体" w:eastAsia="等线" w:cs="宋体"/>
                <w:bCs/>
              </w:rPr>
              <w:t>心理健康与职业生涯规划</w:t>
            </w:r>
          </w:p>
        </w:tc>
        <w:tc>
          <w:tcPr>
            <w:tcW w:w="1699" w:type="pct"/>
            <w:vAlign w:val="center"/>
          </w:tcPr>
          <w:p w14:paraId="44587B6B">
            <w:pPr>
              <w:ind w:firstLine="480"/>
              <w:rPr>
                <w:rFonts w:ascii="等线" w:hAnsi="等线" w:eastAsia="等线"/>
              </w:rPr>
            </w:pPr>
            <w:r>
              <w:rPr>
                <w:rFonts w:hint="eastAsia" w:ascii="等线" w:hAnsi="等线" w:eastAsia="等线"/>
              </w:rPr>
              <w:t>培养学生自立自强、敬业乐群的心理品质和自尊自信、理性平和、积极向上的心态；帮助学生树立心理健康意识，掌握心理调适方法，确立符合社会需要和自身实际的职业理想与生活目标，提升应对挫折、适应社会、规划职业生涯的能力。</w:t>
            </w:r>
          </w:p>
        </w:tc>
        <w:tc>
          <w:tcPr>
            <w:tcW w:w="2346" w:type="pct"/>
            <w:vAlign w:val="center"/>
          </w:tcPr>
          <w:p w14:paraId="22C7AD14">
            <w:pPr>
              <w:widowControl/>
              <w:ind w:firstLine="480"/>
              <w:jc w:val="left"/>
              <w:rPr>
                <w:rFonts w:ascii="宋体" w:hAnsi="宋体" w:eastAsia="等线" w:cs="宋体"/>
                <w:bCs/>
              </w:rPr>
            </w:pPr>
            <w:r>
              <w:rPr>
                <w:rFonts w:hint="eastAsia" w:ascii="等线" w:hAnsi="等线" w:eastAsia="等线"/>
              </w:rPr>
              <w:t>围绕心理健康知识、心理调适方法与职业生涯规划展开教学，重点结合动漫与游戏制作行业特点与社会发展对动画制作人员素质的要求，引导学生认识自我、适应环境、处理人际关系，培育敬业乐群、严谨细致的职业心理品质。要求学生通过实践活动，掌握制订与执行职业生涯规划的方法，形成符合时代发展与专业特征的职业观，提升就业创业能力，为从事游戏设计、动画制作、3D建模、影视后期等岗位做好心理与规划准备。</w:t>
            </w:r>
          </w:p>
        </w:tc>
      </w:tr>
      <w:tr w14:paraId="204D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322" w:type="pct"/>
            <w:vAlign w:val="center"/>
          </w:tcPr>
          <w:p w14:paraId="06A2986B">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w:t>
            </w:r>
          </w:p>
        </w:tc>
        <w:tc>
          <w:tcPr>
            <w:tcW w:w="632" w:type="pct"/>
            <w:vAlign w:val="center"/>
          </w:tcPr>
          <w:p w14:paraId="7C68B428">
            <w:pPr>
              <w:overflowPunct w:val="0"/>
              <w:ind w:firstLine="480"/>
              <w:jc w:val="center"/>
              <w:rPr>
                <w:rFonts w:ascii="宋体" w:hAnsi="宋体" w:eastAsia="等线" w:cs="宋体"/>
                <w:bCs/>
              </w:rPr>
            </w:pPr>
            <w:r>
              <w:rPr>
                <w:rFonts w:hint="eastAsia" w:ascii="宋体" w:hAnsi="宋体" w:eastAsia="等线" w:cs="宋体"/>
                <w:bCs/>
              </w:rPr>
              <w:t>哲学人生</w:t>
            </w:r>
          </w:p>
        </w:tc>
        <w:tc>
          <w:tcPr>
            <w:tcW w:w="1699" w:type="pct"/>
            <w:vAlign w:val="center"/>
          </w:tcPr>
          <w:p w14:paraId="63B2037C">
            <w:pPr>
              <w:widowControl/>
              <w:ind w:firstLine="480"/>
              <w:jc w:val="left"/>
              <w:rPr>
                <w:rFonts w:ascii="宋体" w:hAnsi="宋体" w:eastAsia="等线" w:cs="宋体"/>
                <w:bCs/>
              </w:rPr>
            </w:pPr>
            <w:r>
              <w:rPr>
                <w:rFonts w:hint="eastAsia" w:ascii="等线" w:hAnsi="等线" w:eastAsia="等线"/>
              </w:rPr>
              <w:t>使学生初步掌握辩证唯物主义和历史唯物主义基本原理，学会运用马克思主义立场、观点和方法观察分析社会现象，进行正确的价值判断和行为选择，树立正确的世界观、人生观和价值观。</w:t>
            </w:r>
          </w:p>
        </w:tc>
        <w:tc>
          <w:tcPr>
            <w:tcW w:w="2346" w:type="pct"/>
            <w:vAlign w:val="center"/>
          </w:tcPr>
          <w:p w14:paraId="34205935">
            <w:pPr>
              <w:ind w:firstLine="480"/>
              <w:rPr>
                <w:rFonts w:ascii="等线" w:hAnsi="等线" w:eastAsia="等线"/>
              </w:rPr>
            </w:pPr>
            <w:r>
              <w:rPr>
                <w:rFonts w:hint="eastAsia" w:ascii="等线" w:hAnsi="等线" w:eastAsia="等线"/>
              </w:rPr>
              <w:t>讲授马克思主义哲学的基本原理，强调实践第一、实事求是、具体问题具体分析等方法论。教学中应结合会计职业情境，引导学生运用哲学思维分析动漫设计与制作伦理、诚信执业等现实问题，理解社会主义核心价值观在专业实践中的体现。要求学生能够联系实际，正确处理人生发展中的问题，筑牢诚信为本、精益求精的职业价值观，为成长为高素质动漫人才奠定思想基础。</w:t>
            </w:r>
          </w:p>
        </w:tc>
      </w:tr>
      <w:tr w14:paraId="147B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322" w:type="pct"/>
            <w:vAlign w:val="center"/>
          </w:tcPr>
          <w:p w14:paraId="1EEFF734">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4</w:t>
            </w:r>
          </w:p>
        </w:tc>
        <w:tc>
          <w:tcPr>
            <w:tcW w:w="632" w:type="pct"/>
            <w:vAlign w:val="center"/>
          </w:tcPr>
          <w:p w14:paraId="5977563F">
            <w:pPr>
              <w:overflowPunct w:val="0"/>
              <w:ind w:firstLine="480"/>
              <w:jc w:val="center"/>
              <w:rPr>
                <w:rFonts w:ascii="宋体" w:hAnsi="宋体" w:eastAsia="等线" w:cs="宋体"/>
                <w:bCs/>
              </w:rPr>
            </w:pPr>
            <w:r>
              <w:rPr>
                <w:rFonts w:hint="eastAsia" w:ascii="宋体" w:hAnsi="宋体" w:eastAsia="等线" w:cs="宋体"/>
                <w:bCs/>
              </w:rPr>
              <w:t>职业道德与法治</w:t>
            </w:r>
          </w:p>
        </w:tc>
        <w:tc>
          <w:tcPr>
            <w:tcW w:w="1699" w:type="pct"/>
            <w:vAlign w:val="center"/>
          </w:tcPr>
          <w:p w14:paraId="18E6A738">
            <w:pPr>
              <w:ind w:firstLine="480"/>
              <w:rPr>
                <w:rFonts w:ascii="等线" w:hAnsi="等线" w:eastAsia="等线"/>
              </w:rPr>
            </w:pPr>
            <w:r>
              <w:rPr>
                <w:rFonts w:hint="eastAsia" w:ascii="等线" w:hAnsi="等线" w:eastAsia="等线"/>
              </w:rPr>
              <w:t>培养学生树立正确的劳动观、职业观和法治观念，增强职业道德意识，践行劳动精神、劳模精神和工匠精神；掌握与职业活动相关的法律知识，养成依法办事、依法维权的行为习惯，具备有序参与公共事务的能力。</w:t>
            </w:r>
          </w:p>
        </w:tc>
        <w:tc>
          <w:tcPr>
            <w:tcW w:w="2346" w:type="pct"/>
            <w:vAlign w:val="center"/>
          </w:tcPr>
          <w:p w14:paraId="0A71266A">
            <w:pPr>
              <w:ind w:firstLine="480"/>
              <w:rPr>
                <w:rFonts w:ascii="等线" w:hAnsi="等线" w:eastAsia="等线"/>
              </w:rPr>
            </w:pPr>
            <w:r>
              <w:rPr>
                <w:rFonts w:hint="eastAsia" w:ascii="等线" w:hAnsi="等线" w:eastAsia="等线"/>
              </w:rPr>
              <w:t>系统讲解职业道德规范与中国特色社会主义法治体系，重点突出《宪法》《民法典》《著作权法》《商标法》《专利法》等与动漫企业认定的工作密切相关的基础法律法规。教学中应结合动漫与设计岗位典型情境，强化诚实守信、廉洁自律的职业操守，培育爱岗敬业、精益求精的工匠精神。要求学生掌握职业道德修养方法与依法维权途径，能运用法律知识规范职业行为，具备依法参与企业治理和社会事务的基本能力，成为尊法守法、德技并修的专业动漫设计与制作人员。</w:t>
            </w:r>
          </w:p>
        </w:tc>
      </w:tr>
      <w:tr w14:paraId="5F9B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322" w:type="pct"/>
            <w:vAlign w:val="center"/>
          </w:tcPr>
          <w:p w14:paraId="47EDAAB6">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5</w:t>
            </w:r>
          </w:p>
        </w:tc>
        <w:tc>
          <w:tcPr>
            <w:tcW w:w="632" w:type="pct"/>
            <w:vAlign w:val="center"/>
          </w:tcPr>
          <w:p w14:paraId="16D7954A">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语文</w:t>
            </w:r>
          </w:p>
        </w:tc>
        <w:tc>
          <w:tcPr>
            <w:tcW w:w="1699" w:type="pct"/>
            <w:vAlign w:val="center"/>
          </w:tcPr>
          <w:p w14:paraId="4CFB754B">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立足学生核心素养发展，充分发挥语文课程育人功能。培养学生文化自信、语言运用、思维能力和审美创造的综合素养，使学生逐步形成正确的世界观、人生观和价值观。</w:t>
            </w:r>
          </w:p>
        </w:tc>
        <w:tc>
          <w:tcPr>
            <w:tcW w:w="2346" w:type="pct"/>
            <w:vAlign w:val="center"/>
          </w:tcPr>
          <w:p w14:paraId="61904689">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主要内容：</w:t>
            </w:r>
          </w:p>
          <w:p w14:paraId="3F7AD8AE">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1.构建学习任务群，包括“语言文字积累与梳理”基础型任务群，“实用性阅读与交流”“文学阅读与创意表达”“思辨性阅读与表达”发展型任务群，以及“整本书阅读”“跨学科学习”拓展型任务群。</w:t>
            </w:r>
          </w:p>
          <w:p w14:paraId="3509C612">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2.涵盖识字与写字、阅读与鉴赏、表达与交流、梳理与探究等板块。</w:t>
            </w:r>
          </w:p>
          <w:p w14:paraId="6F6F75E9">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教学要求：</w:t>
            </w:r>
          </w:p>
          <w:p w14:paraId="06572F69">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1.强调以文化人，将立德树人根本任务贯穿于教学全过程。</w:t>
            </w:r>
          </w:p>
          <w:p w14:paraId="17FC8B2D">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2.创设真实的学习情境，凸显语文学习的实践性。</w:t>
            </w:r>
          </w:p>
          <w:p w14:paraId="02983C32">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3.关注互联网时代语文生活的变化，探索教学方式变革。</w:t>
            </w:r>
          </w:p>
        </w:tc>
      </w:tr>
      <w:tr w14:paraId="7E7C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322" w:type="pct"/>
            <w:vAlign w:val="center"/>
          </w:tcPr>
          <w:p w14:paraId="6662A653">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6</w:t>
            </w:r>
          </w:p>
        </w:tc>
        <w:tc>
          <w:tcPr>
            <w:tcW w:w="632" w:type="pct"/>
            <w:vAlign w:val="center"/>
          </w:tcPr>
          <w:p w14:paraId="19227D15">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历史</w:t>
            </w:r>
          </w:p>
        </w:tc>
        <w:tc>
          <w:tcPr>
            <w:tcW w:w="1699" w:type="pct"/>
            <w:vAlign w:val="center"/>
          </w:tcPr>
          <w:p w14:paraId="0553BC3F">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落实立德树人根本任务，培养学生核心素养，引导学生初步树立正确的历史观、民族观、国家观、文化观。核心素养主要包括唯物史观、时空观念、史料实证、历史解释、家国情怀。</w:t>
            </w:r>
          </w:p>
        </w:tc>
        <w:tc>
          <w:tcPr>
            <w:tcW w:w="2346" w:type="pct"/>
            <w:vAlign w:val="center"/>
          </w:tcPr>
          <w:p w14:paraId="53742584">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主要内容：</w:t>
            </w:r>
          </w:p>
          <w:p w14:paraId="55CA1189">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1.以中外历史进程及其规律为基本线索，突出历史发展的阶段性特征。</w:t>
            </w:r>
          </w:p>
          <w:p w14:paraId="64B91CCC">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2.精选和优化课程内容，突出思想性、基础性。</w:t>
            </w:r>
          </w:p>
          <w:p w14:paraId="4CF4F2B7">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3.设立跨学科主题学习，加强学科关联。</w:t>
            </w:r>
          </w:p>
          <w:p w14:paraId="34D3D802">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教学要求：</w:t>
            </w:r>
          </w:p>
          <w:p w14:paraId="1A4EDA04">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1.注重以学生为主体，鼓励教学方式创新，如自主探究。</w:t>
            </w:r>
          </w:p>
          <w:p w14:paraId="36942E8E">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2.树立以学生为主体的教学观念，注重学生自主探究的学习活动。</w:t>
            </w:r>
          </w:p>
          <w:p w14:paraId="0A905B09">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3.综合运用多种评价方式，发挥评价促进学习和改进教学的功能。</w:t>
            </w:r>
          </w:p>
        </w:tc>
      </w:tr>
      <w:tr w14:paraId="436E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22" w:type="pct"/>
            <w:vAlign w:val="center"/>
          </w:tcPr>
          <w:p w14:paraId="3BEDAA47">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7</w:t>
            </w:r>
          </w:p>
        </w:tc>
        <w:tc>
          <w:tcPr>
            <w:tcW w:w="632" w:type="pct"/>
            <w:vAlign w:val="center"/>
          </w:tcPr>
          <w:p w14:paraId="201B1767">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数学</w:t>
            </w:r>
          </w:p>
        </w:tc>
        <w:tc>
          <w:tcPr>
            <w:tcW w:w="1699" w:type="pct"/>
            <w:vAlign w:val="center"/>
          </w:tcPr>
          <w:p w14:paraId="077D8E6C">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立足学生核心素养发展，集中体现数学课程育人价值。培养学生会用数学的眼光观察现实世界、会用数学的思维思考现实世界、会用数学的语言表达现实世界。</w:t>
            </w:r>
          </w:p>
        </w:tc>
        <w:tc>
          <w:tcPr>
            <w:tcW w:w="2346" w:type="pct"/>
            <w:vAlign w:val="center"/>
          </w:tcPr>
          <w:p w14:paraId="77A1E148">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主要内容：</w:t>
            </w:r>
          </w:p>
          <w:p w14:paraId="34997BD4">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1.在义务教育阶段，数学眼光主要表现为抽象能力、几何直观、空间观念与创新意识。</w:t>
            </w:r>
          </w:p>
          <w:p w14:paraId="4C1AF785">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2.数学思维主要表现为运算能力、推理意识或推理能力。</w:t>
            </w:r>
          </w:p>
          <w:p w14:paraId="34C6B258">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3.数学语言主要表现为数据意识、模型观念、应用意识。</w:t>
            </w:r>
          </w:p>
          <w:p w14:paraId="48100C7A">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教学要求：</w:t>
            </w:r>
          </w:p>
          <w:p w14:paraId="2A71EF63">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1.核心素养在不同学段有不同表现，教学需符合阶段性特征。</w:t>
            </w:r>
          </w:p>
          <w:p w14:paraId="122CCA9A">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2.通过数学学习，发展学生创新意识和实践能力，形成核心素养。</w:t>
            </w:r>
          </w:p>
        </w:tc>
      </w:tr>
      <w:tr w14:paraId="33D9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322" w:type="pct"/>
            <w:vAlign w:val="center"/>
          </w:tcPr>
          <w:p w14:paraId="26D0F766">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8</w:t>
            </w:r>
          </w:p>
        </w:tc>
        <w:tc>
          <w:tcPr>
            <w:tcW w:w="632" w:type="pct"/>
            <w:vAlign w:val="center"/>
          </w:tcPr>
          <w:p w14:paraId="0DBCA9D0">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英语</w:t>
            </w:r>
          </w:p>
        </w:tc>
        <w:tc>
          <w:tcPr>
            <w:tcW w:w="1699" w:type="pct"/>
            <w:vAlign w:val="center"/>
          </w:tcPr>
          <w:p w14:paraId="381C1AA7">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着力培养学生的核心素养，包括语言能力、文化意识、思维品质和学习能力。引导学生树立国际视野，坚定文化自信。</w:t>
            </w:r>
          </w:p>
        </w:tc>
        <w:tc>
          <w:tcPr>
            <w:tcW w:w="2346" w:type="pct"/>
            <w:vAlign w:val="center"/>
          </w:tcPr>
          <w:p w14:paraId="264DDCBE">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主要内容：</w:t>
            </w:r>
          </w:p>
          <w:p w14:paraId="6CC3EB3A">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1.依据单元育人蓝图实施教学，构建由单元教学目标、语篇教学目标和课时教学目标组成的目标体系。</w:t>
            </w:r>
          </w:p>
          <w:p w14:paraId="5F72E2EC">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2.内容体现工具性和人文性的统一。</w:t>
            </w:r>
          </w:p>
          <w:p w14:paraId="09CE71B1">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教学要求：</w:t>
            </w:r>
          </w:p>
          <w:p w14:paraId="3A848A0C">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1.注重在真实语境中感知、体验、学习和运用英语。</w:t>
            </w:r>
          </w:p>
          <w:p w14:paraId="2D939844">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2.倡导教、学、评一体化，注重评价的促进功能。</w:t>
            </w:r>
          </w:p>
          <w:p w14:paraId="457E1759">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3.尝试跨学科教学，加强学科间相互关联。</w:t>
            </w:r>
          </w:p>
        </w:tc>
      </w:tr>
      <w:tr w14:paraId="5306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22" w:type="pct"/>
            <w:vAlign w:val="center"/>
          </w:tcPr>
          <w:p w14:paraId="471576EA">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9</w:t>
            </w:r>
          </w:p>
        </w:tc>
        <w:tc>
          <w:tcPr>
            <w:tcW w:w="632" w:type="pct"/>
            <w:vAlign w:val="center"/>
          </w:tcPr>
          <w:p w14:paraId="4C1B8D2C">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信息技术</w:t>
            </w:r>
          </w:p>
        </w:tc>
        <w:tc>
          <w:tcPr>
            <w:tcW w:w="1699" w:type="pct"/>
            <w:vAlign w:val="center"/>
          </w:tcPr>
          <w:p w14:paraId="5E58646F">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培养学生的学科核心素养，课程目标涵盖信息意识、计算思维、数字化学习与创新、信息社会责任等方面。</w:t>
            </w:r>
          </w:p>
        </w:tc>
        <w:tc>
          <w:tcPr>
            <w:tcW w:w="2346" w:type="pct"/>
            <w:vAlign w:val="center"/>
          </w:tcPr>
          <w:p w14:paraId="6F4D7442">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主要内容：</w:t>
            </w:r>
          </w:p>
          <w:p w14:paraId="71D18867">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1.课程模块包括基础模块和拓展模块。</w:t>
            </w:r>
          </w:p>
          <w:p w14:paraId="53C10BCD">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教学要求：</w:t>
            </w:r>
          </w:p>
          <w:p w14:paraId="5420DC6D">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1.课程实施有相应的教学要求、学业水平评价、教材编写要求、课程资源开发与学习环境创设、教师团队建设等。</w:t>
            </w:r>
          </w:p>
        </w:tc>
      </w:tr>
      <w:tr w14:paraId="7088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22" w:type="pct"/>
            <w:vAlign w:val="center"/>
          </w:tcPr>
          <w:p w14:paraId="20AFD127">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10</w:t>
            </w:r>
          </w:p>
        </w:tc>
        <w:tc>
          <w:tcPr>
            <w:tcW w:w="632" w:type="pct"/>
            <w:vAlign w:val="center"/>
          </w:tcPr>
          <w:p w14:paraId="7B12BC8C">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体育与健康</w:t>
            </w:r>
          </w:p>
        </w:tc>
        <w:tc>
          <w:tcPr>
            <w:tcW w:w="1699" w:type="pct"/>
            <w:vAlign w:val="center"/>
          </w:tcPr>
          <w:p w14:paraId="36CD7236">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增强学生体能，掌握和应用基本的体育与健康知识和运动技能，培养健康的生活方式和积极乐观的心理品质，增强社会适应能力。</w:t>
            </w:r>
          </w:p>
        </w:tc>
        <w:tc>
          <w:tcPr>
            <w:tcW w:w="2346" w:type="pct"/>
            <w:vAlign w:val="center"/>
          </w:tcPr>
          <w:p w14:paraId="5C333AC2">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主要内容与要求：</w:t>
            </w:r>
          </w:p>
          <w:p w14:paraId="54C09DCF">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1.内容包括体育知识与技能、健康知识与方法等。</w:t>
            </w:r>
          </w:p>
          <w:p w14:paraId="1C3C0580">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2.要求坚持以实践为主，激发学生运动兴趣。</w:t>
            </w:r>
          </w:p>
          <w:p w14:paraId="0FED944B">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3.注重教育过程，培养学生体育锻炼习惯和健康生活方式。</w:t>
            </w:r>
          </w:p>
        </w:tc>
      </w:tr>
      <w:tr w14:paraId="2FEC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22" w:type="pct"/>
            <w:vAlign w:val="center"/>
          </w:tcPr>
          <w:p w14:paraId="57884EED">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11</w:t>
            </w:r>
          </w:p>
        </w:tc>
        <w:tc>
          <w:tcPr>
            <w:tcW w:w="632" w:type="pct"/>
            <w:vAlign w:val="center"/>
          </w:tcPr>
          <w:p w14:paraId="5B22DE14">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艺术欣赏</w:t>
            </w:r>
          </w:p>
        </w:tc>
        <w:tc>
          <w:tcPr>
            <w:tcW w:w="1699" w:type="pct"/>
            <w:vAlign w:val="center"/>
          </w:tcPr>
          <w:p w14:paraId="3F44C04A">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培养学生艺术素养、创新精神和实践能力，丰富审美体验，学会发现美、感受美、表现美、创造美。</w:t>
            </w:r>
          </w:p>
        </w:tc>
        <w:tc>
          <w:tcPr>
            <w:tcW w:w="2346" w:type="pct"/>
            <w:vAlign w:val="center"/>
          </w:tcPr>
          <w:p w14:paraId="5E872D1D">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主要内容与要求：</w:t>
            </w:r>
          </w:p>
          <w:p w14:paraId="4B4F11AE">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1.内容通常包括美术、音乐、舞蹈、戏剧、影视等艺术形式的基础知识和基本技能。</w:t>
            </w:r>
          </w:p>
          <w:p w14:paraId="2D0D4934">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2.要求重视艺术体验，激发参与艺术活动的兴趣和热情。</w:t>
            </w:r>
          </w:p>
          <w:p w14:paraId="53060EA3">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3.发展想象力和创造力，提升艺术素养。</w:t>
            </w:r>
          </w:p>
        </w:tc>
      </w:tr>
      <w:tr w14:paraId="56DE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22" w:type="pct"/>
            <w:vAlign w:val="center"/>
          </w:tcPr>
          <w:p w14:paraId="6E112197">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12</w:t>
            </w:r>
          </w:p>
        </w:tc>
        <w:tc>
          <w:tcPr>
            <w:tcW w:w="632" w:type="pct"/>
            <w:vAlign w:val="center"/>
          </w:tcPr>
          <w:p w14:paraId="784877F5">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心里健康</w:t>
            </w:r>
          </w:p>
        </w:tc>
        <w:tc>
          <w:tcPr>
            <w:tcW w:w="1699" w:type="pct"/>
            <w:vAlign w:val="center"/>
          </w:tcPr>
          <w:p w14:paraId="6CC124D0">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本课程致力于帮助学生树立心理健康意识，学会识别与调控常见的情绪和心理问题，掌握积极应对压力与挫折的心理调适方法，提升人际交往能力，培养乐观、自信、向上的心理品质，促进身心和谐发展。</w:t>
            </w:r>
          </w:p>
        </w:tc>
        <w:tc>
          <w:tcPr>
            <w:tcW w:w="2346" w:type="pct"/>
            <w:vAlign w:val="center"/>
          </w:tcPr>
          <w:p w14:paraId="6A715DFF">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教学内容：</w:t>
            </w:r>
          </w:p>
          <w:p w14:paraId="728A4F2A">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1.心理健康基础：了解心理健康标准，学习自我意识与人格发展的基础知识。</w:t>
            </w:r>
          </w:p>
          <w:p w14:paraId="5CD3C091">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2.情绪管理：识别常见情绪，学习压力疏导、情绪调控与积极心态培养的方法。</w:t>
            </w:r>
          </w:p>
          <w:p w14:paraId="0287C0BF">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3.人际交往：学习有效的沟通技巧，处理同伴、师生及家庭关系，解决人际冲突。</w:t>
            </w:r>
          </w:p>
          <w:p w14:paraId="1DE2562C">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4.生涯发展与应对：认识生涯发展任务，学习应对学习困难、挫折与青春期困惑的策略。</w:t>
            </w:r>
          </w:p>
          <w:p w14:paraId="3FF0F655">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教学要求：</w:t>
            </w:r>
          </w:p>
          <w:p w14:paraId="0F67AC30">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1.创设安全、信任的课堂氛围，注重学生体验与分享，避免单纯知识灌输。</w:t>
            </w:r>
          </w:p>
          <w:p w14:paraId="595AED24">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2.通过团体活动、心理游戏、角色扮演等方式，引导学生主动参与和体验。</w:t>
            </w:r>
          </w:p>
          <w:p w14:paraId="672DC396">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3.尊重个体差异，保护学生隐私，对需要专业帮助的学生能及时识别与转介。</w:t>
            </w:r>
          </w:p>
        </w:tc>
      </w:tr>
      <w:tr w14:paraId="0CF6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322" w:type="pct"/>
            <w:vAlign w:val="center"/>
          </w:tcPr>
          <w:p w14:paraId="7BBC001E">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13</w:t>
            </w:r>
          </w:p>
        </w:tc>
        <w:tc>
          <w:tcPr>
            <w:tcW w:w="632" w:type="pct"/>
            <w:vAlign w:val="center"/>
          </w:tcPr>
          <w:p w14:paraId="3FD0BA8F">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劳动教育</w:t>
            </w:r>
          </w:p>
        </w:tc>
        <w:tc>
          <w:tcPr>
            <w:tcW w:w="1699" w:type="pct"/>
            <w:vAlign w:val="center"/>
          </w:tcPr>
          <w:p w14:paraId="4D3F3823">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培养学生树立正确的劳动观念，掌握基本的劳动知识和技能，养成良好的劳动习惯和品质，弘扬劳动精神。</w:t>
            </w:r>
          </w:p>
        </w:tc>
        <w:tc>
          <w:tcPr>
            <w:tcW w:w="2346" w:type="pct"/>
            <w:vAlign w:val="center"/>
          </w:tcPr>
          <w:p w14:paraId="7455C14A">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主要内容与要求：</w:t>
            </w:r>
          </w:p>
          <w:p w14:paraId="6E3EB733">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1.内容主要包括日常生活劳动、生产劳动和服务性劳动等。</w:t>
            </w:r>
          </w:p>
          <w:p w14:paraId="3261AC23">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2.强调实践体验，鼓励学生在真实的劳动场景中动手实践。</w:t>
            </w:r>
          </w:p>
          <w:p w14:paraId="564FB7D8">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3.通过出力流汗，接受锻炼，培养劳动精神。</w:t>
            </w:r>
          </w:p>
        </w:tc>
      </w:tr>
      <w:tr w14:paraId="3BF9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322" w:type="pct"/>
            <w:vAlign w:val="center"/>
          </w:tcPr>
          <w:p w14:paraId="6F25F78C">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14</w:t>
            </w:r>
          </w:p>
        </w:tc>
        <w:tc>
          <w:tcPr>
            <w:tcW w:w="632" w:type="pct"/>
            <w:vAlign w:val="center"/>
          </w:tcPr>
          <w:p w14:paraId="4066CAD5">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职业素养</w:t>
            </w:r>
          </w:p>
          <w:p w14:paraId="09E12495">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（选修）</w:t>
            </w:r>
          </w:p>
        </w:tc>
        <w:tc>
          <w:tcPr>
            <w:tcW w:w="1699" w:type="pct"/>
          </w:tcPr>
          <w:p w14:paraId="7D2E8D5F">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本课程致力于帮助学生树立正确的职业观，理解并内化现代职场通用的职业规范与行为标准，提升沟通协作、时间管理及问题解决等软技能，为未来顺利融入职场、实现可持续发展奠定坚实基础。</w:t>
            </w:r>
          </w:p>
        </w:tc>
        <w:tc>
          <w:tcPr>
            <w:tcW w:w="2346" w:type="pct"/>
          </w:tcPr>
          <w:p w14:paraId="65C99702">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教学内容：</w:t>
            </w:r>
          </w:p>
          <w:p w14:paraId="7E21226D">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1.职业道德：学习诚实守信、爱岗敬业、责任担当等基本职业道德规范。</w:t>
            </w:r>
          </w:p>
          <w:p w14:paraId="01497EDE">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2.职业礼仪：掌握职场形象管理、沟通礼仪、商务礼仪等基本要求。</w:t>
            </w:r>
          </w:p>
          <w:p w14:paraId="150675F4">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3.职业能力：训练团队协作、有效沟通、时间管理、压力应对等核心职业能力。</w:t>
            </w:r>
          </w:p>
          <w:p w14:paraId="588E830A">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4.职业发展：了解职业生涯规划的基本方法，树立终身学习的理念。</w:t>
            </w:r>
          </w:p>
          <w:p w14:paraId="406D2FE8">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教学要求：</w:t>
            </w:r>
          </w:p>
          <w:p w14:paraId="3980AC67">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1.采用案例教学、情境模拟、小组项目等理实一体化教学方法。</w:t>
            </w:r>
          </w:p>
          <w:p w14:paraId="6E9B5369">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2.引导学生进行自我反思与行为训练，将素养要求转化为自觉行动。</w:t>
            </w:r>
          </w:p>
          <w:p w14:paraId="16113C89">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3.注重过程性评价，综合考察学生的课堂参与、团队贡献及行为改善。</w:t>
            </w:r>
          </w:p>
        </w:tc>
      </w:tr>
      <w:tr w14:paraId="065A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322" w:type="pct"/>
            <w:vAlign w:val="center"/>
          </w:tcPr>
          <w:p w14:paraId="1932DE9B">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15</w:t>
            </w:r>
          </w:p>
        </w:tc>
        <w:tc>
          <w:tcPr>
            <w:tcW w:w="632" w:type="pct"/>
            <w:vAlign w:val="center"/>
          </w:tcPr>
          <w:p w14:paraId="558BF42C">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安全教育</w:t>
            </w:r>
          </w:p>
          <w:p w14:paraId="393A1ECE">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（选修）</w:t>
            </w:r>
          </w:p>
        </w:tc>
        <w:tc>
          <w:tcPr>
            <w:tcW w:w="1699" w:type="pct"/>
          </w:tcPr>
          <w:p w14:paraId="679F260E">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本课程致力于帮助学生树立安全第一的意识，掌握日常生活、学习及未来工作中必备的安全知识与技能，提高自我保护、应急避险和应对突发安全事件的能力，养成维护安全的良好习惯。</w:t>
            </w:r>
          </w:p>
        </w:tc>
        <w:tc>
          <w:tcPr>
            <w:tcW w:w="2346" w:type="pct"/>
          </w:tcPr>
          <w:p w14:paraId="18F469C8">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教学内容：</w:t>
            </w:r>
          </w:p>
          <w:p w14:paraId="7E3162A7">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1.校园安全：学习校园内消防、用电、交通、集体活动等安全规范与隐患识别。</w:t>
            </w:r>
          </w:p>
          <w:p w14:paraId="019FB45D">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2.人身与财产安全：防范诈骗、盗窃、传销、欺凌与暴力，学习个人信息保护知识。</w:t>
            </w:r>
          </w:p>
          <w:p w14:paraId="0CDD682E">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3.应急救护：掌握消防安全技能（如灭火器使用）、基本的创伤救护与心肺复苏知识。</w:t>
            </w:r>
          </w:p>
          <w:p w14:paraId="7824FF58">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4.网络安全：辨识网络陷阱，防范网络沉迷、不良信息与网络借贷，做到文明上网。</w:t>
            </w:r>
          </w:p>
          <w:p w14:paraId="1556E903">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教学要求：</w:t>
            </w:r>
          </w:p>
          <w:p w14:paraId="027032D0">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1.采用案例剖析、情景模拟、实操演练等理实一体化教学方法，突出实践性。</w:t>
            </w:r>
          </w:p>
          <w:p w14:paraId="269BC398">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2.组织应急疏散演练等实践活动，确保学生能真正掌握关键技能。</w:t>
            </w:r>
          </w:p>
          <w:p w14:paraId="164C7F0E">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3.强调知行合一，将安全知识内化为学生的日常行为习惯。</w:t>
            </w:r>
          </w:p>
        </w:tc>
      </w:tr>
      <w:tr w14:paraId="630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322" w:type="pct"/>
            <w:vAlign w:val="center"/>
          </w:tcPr>
          <w:p w14:paraId="0D6CBB97">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16</w:t>
            </w:r>
          </w:p>
        </w:tc>
        <w:tc>
          <w:tcPr>
            <w:tcW w:w="632" w:type="pct"/>
            <w:vAlign w:val="center"/>
          </w:tcPr>
          <w:p w14:paraId="15A2E65C">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中华优秀传统文化</w:t>
            </w:r>
          </w:p>
          <w:p w14:paraId="3447C5A4">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（选修）</w:t>
            </w:r>
          </w:p>
        </w:tc>
        <w:tc>
          <w:tcPr>
            <w:tcW w:w="1699" w:type="pct"/>
          </w:tcPr>
          <w:p w14:paraId="1637F044">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本课程致力于引导学生了解与认同中华优秀传统文化的精髓，增强文化自信与民族自豪感。通过理论与实践相结合的方式，培养学生的审美情趣与人文素养，并能从中汲取智慧，创造性地应用于日常生活与未来设计工作中。</w:t>
            </w:r>
          </w:p>
        </w:tc>
        <w:tc>
          <w:tcPr>
            <w:tcW w:w="2346" w:type="pct"/>
          </w:tcPr>
          <w:p w14:paraId="5997EB15">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教学内容：</w:t>
            </w:r>
          </w:p>
          <w:p w14:paraId="3D3EB800">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1.文化精粹：学习传统哲学思想、文学经典、传统美德与礼仪风俗。</w:t>
            </w:r>
          </w:p>
          <w:p w14:paraId="47EBFA32">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2.艺术体验：赏析与体验书法、国画、剪纸、戏曲等传统艺术形式。</w:t>
            </w:r>
          </w:p>
          <w:p w14:paraId="52419699">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3.技艺传承：了解非物质文化遗产，并动手实践一项简单传统技艺（如中国结、拓印等）。</w:t>
            </w:r>
          </w:p>
          <w:p w14:paraId="3681DF0C">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4.创新应用：探讨如何将传统文化元素与现代设计、生活方式相结合。</w:t>
            </w:r>
          </w:p>
          <w:p w14:paraId="052814FB">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教学要求：</w:t>
            </w:r>
          </w:p>
          <w:p w14:paraId="56019933">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1.坚持“知行合一”，将文化知识讲授与动手实践、审美体验深度融合。</w:t>
            </w:r>
          </w:p>
          <w:p w14:paraId="2B015A8F">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2.组织传统文化工作坊、参观博物馆等实践活动，增强感性认识。</w:t>
            </w:r>
          </w:p>
          <w:p w14:paraId="412A5FFD">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3.鼓励学生完成一项将传统文化与现代理念相结合的创意作品。</w:t>
            </w:r>
          </w:p>
        </w:tc>
      </w:tr>
    </w:tbl>
    <w:p w14:paraId="2AF64285">
      <w:pPr>
        <w:ind w:firstLine="480"/>
      </w:pPr>
    </w:p>
    <w:p w14:paraId="57EE5251">
      <w:pPr>
        <w:pStyle w:val="4"/>
      </w:pPr>
      <w:bookmarkStart w:id="32" w:name="_Toc212238052"/>
      <w:bookmarkStart w:id="33" w:name="_Toc77416438"/>
      <w:r>
        <w:rPr>
          <w:rFonts w:hint="eastAsia"/>
        </w:rPr>
        <w:t>2.专业（基础）课程</w:t>
      </w:r>
      <w:bookmarkEnd w:id="32"/>
      <w:bookmarkEnd w:id="33"/>
      <w:bookmarkStart w:id="34" w:name="_Hlk77361474"/>
    </w:p>
    <w:bookmarkEnd w:id="34"/>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379"/>
        <w:gridCol w:w="3159"/>
        <w:gridCol w:w="3430"/>
      </w:tblGrid>
      <w:tr w14:paraId="3699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5" w:type="pct"/>
            <w:vAlign w:val="center"/>
          </w:tcPr>
          <w:p w14:paraId="4C16BC77">
            <w:pPr>
              <w:overflowPunct w:val="0"/>
              <w:spacing w:line="400" w:lineRule="exact"/>
              <w:ind w:firstLine="0" w:firstLineChars="0"/>
              <w:jc w:val="center"/>
              <w:rPr>
                <w:rFonts w:cs="宋体" w:asciiTheme="majorEastAsia" w:hAnsiTheme="majorEastAsia" w:eastAsiaTheme="majorEastAsia"/>
                <w:b/>
                <w:szCs w:val="21"/>
              </w:rPr>
            </w:pPr>
            <w:bookmarkStart w:id="35" w:name="_Hlk77361482"/>
            <w:r>
              <w:rPr>
                <w:rFonts w:hint="eastAsia" w:cs="宋体" w:asciiTheme="majorEastAsia" w:hAnsiTheme="majorEastAsia" w:eastAsiaTheme="majorEastAsia"/>
                <w:b/>
                <w:szCs w:val="21"/>
              </w:rPr>
              <w:t>序号</w:t>
            </w:r>
          </w:p>
        </w:tc>
        <w:tc>
          <w:tcPr>
            <w:tcW w:w="809" w:type="pct"/>
            <w:vAlign w:val="center"/>
          </w:tcPr>
          <w:p w14:paraId="58351433">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课程名称</w:t>
            </w:r>
          </w:p>
        </w:tc>
        <w:tc>
          <w:tcPr>
            <w:tcW w:w="1853" w:type="pct"/>
            <w:vAlign w:val="center"/>
          </w:tcPr>
          <w:p w14:paraId="6F8DCAAA">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课程目标</w:t>
            </w:r>
          </w:p>
        </w:tc>
        <w:tc>
          <w:tcPr>
            <w:tcW w:w="2012" w:type="pct"/>
            <w:vAlign w:val="center"/>
          </w:tcPr>
          <w:p w14:paraId="12FDD923">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主要内容</w:t>
            </w:r>
          </w:p>
          <w:p w14:paraId="0BD70E9A">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教学要求</w:t>
            </w:r>
          </w:p>
        </w:tc>
      </w:tr>
      <w:bookmarkEnd w:id="35"/>
      <w:tr w14:paraId="4599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25" w:type="pct"/>
            <w:vAlign w:val="center"/>
          </w:tcPr>
          <w:p w14:paraId="6C88CA3E">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809" w:type="pct"/>
            <w:vAlign w:val="center"/>
          </w:tcPr>
          <w:p w14:paraId="4E894056">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素描（速写）</w:t>
            </w:r>
          </w:p>
        </w:tc>
        <w:tc>
          <w:tcPr>
            <w:tcW w:w="1853" w:type="pct"/>
            <w:vAlign w:val="center"/>
          </w:tcPr>
          <w:p w14:paraId="64C95FC3">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1.素描基础：几何形体、静物、人物结构素描，学习透视、比例、构图、明暗、空间与体积的表现。</w:t>
            </w:r>
          </w:p>
          <w:p w14:paraId="7462A86A">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2.速写训练：进行人物动态速写、场景速写，快速捕捉对象形态、动势和神韵。</w:t>
            </w:r>
          </w:p>
          <w:p w14:paraId="21830CB3">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3.造型基础：训练眼、手、脑的协调，培养准确的观察方法和扎实的造型能力。</w:t>
            </w:r>
          </w:p>
        </w:tc>
        <w:tc>
          <w:tcPr>
            <w:tcW w:w="2012" w:type="pct"/>
          </w:tcPr>
          <w:p w14:paraId="62366085">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1.掌握正确的观察方法和绘画步骤，能运用透视原理和结构分析法进行造型。</w:t>
            </w:r>
          </w:p>
          <w:p w14:paraId="639ACBFC">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2.能够熟练运用线条和明暗调子表现物体的结构、质感和空间关系。</w:t>
            </w:r>
          </w:p>
          <w:p w14:paraId="7EDD8923">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3.具备快速捕捉动态和场景的速写能力，为后续的角色与场景设计奠定坚实基础。</w:t>
            </w:r>
          </w:p>
        </w:tc>
      </w:tr>
      <w:tr w14:paraId="3A8E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25" w:type="pct"/>
            <w:vAlign w:val="center"/>
          </w:tcPr>
          <w:p w14:paraId="73CCD261">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2</w:t>
            </w:r>
          </w:p>
        </w:tc>
        <w:tc>
          <w:tcPr>
            <w:tcW w:w="809" w:type="pct"/>
            <w:vAlign w:val="center"/>
          </w:tcPr>
          <w:p w14:paraId="1B5EFECF">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色彩</w:t>
            </w:r>
          </w:p>
        </w:tc>
        <w:tc>
          <w:tcPr>
            <w:tcW w:w="1853" w:type="pct"/>
            <w:vAlign w:val="center"/>
          </w:tcPr>
          <w:p w14:paraId="1BC0E87E">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1.色彩原理：学习色彩三要素、色彩对比与调和、色彩心理学等基础理论。</w:t>
            </w:r>
          </w:p>
          <w:p w14:paraId="1F682B22">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2.色彩表现技法：进行静物、风景色彩写生，训练色彩的感知、调配与表现能力。</w:t>
            </w:r>
          </w:p>
          <w:p w14:paraId="48C418F5">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3.色彩应用：学习色彩在动漫、游戏概念设计与氛围营造中的运用规律。</w:t>
            </w:r>
          </w:p>
        </w:tc>
        <w:tc>
          <w:tcPr>
            <w:tcW w:w="2012" w:type="pct"/>
          </w:tcPr>
          <w:p w14:paraId="2A29074F">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1.深入理解色彩基础理论，能科学地进行色彩分析与调配。</w:t>
            </w:r>
          </w:p>
          <w:p w14:paraId="572E95CB">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2.具备良好的色彩感觉和表现力，能通过色彩准确传达情感与氛围。</w:t>
            </w:r>
          </w:p>
          <w:p w14:paraId="72F64ED2">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3.能够将色彩知识应用于数字绘画与设计，为角色、场景设定提供合理的色彩方案。</w:t>
            </w:r>
          </w:p>
        </w:tc>
      </w:tr>
      <w:tr w14:paraId="2857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325" w:type="pct"/>
            <w:vAlign w:val="center"/>
          </w:tcPr>
          <w:p w14:paraId="036C40F4">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3</w:t>
            </w:r>
          </w:p>
        </w:tc>
        <w:tc>
          <w:tcPr>
            <w:tcW w:w="809" w:type="pct"/>
            <w:vAlign w:val="center"/>
          </w:tcPr>
          <w:p w14:paraId="6EF91591">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构成艺术</w:t>
            </w:r>
          </w:p>
        </w:tc>
        <w:tc>
          <w:tcPr>
            <w:tcW w:w="1853" w:type="pct"/>
            <w:vAlign w:val="center"/>
          </w:tcPr>
          <w:p w14:paraId="79288BC6">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1.平面构成：学习点、线、面的形态与组合，掌握重复、渐变、发射、对比等构成形式法则。</w:t>
            </w:r>
          </w:p>
          <w:p w14:paraId="286545E1">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2.色彩构成：学习色彩的相互作用与布局，研究色彩的情感表达与视觉引导。</w:t>
            </w:r>
          </w:p>
          <w:p w14:paraId="2213114D">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3.立体构成：了解形态在三维空间中的构成规律，培养空间想象和造型组织能力。</w:t>
            </w:r>
          </w:p>
        </w:tc>
        <w:tc>
          <w:tcPr>
            <w:tcW w:w="2012" w:type="pct"/>
          </w:tcPr>
          <w:p w14:paraId="01B8C24C">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1.熟练掌握三大构成的原理与形式美法则，能够独立完成具有美感的构成作品。</w:t>
            </w:r>
          </w:p>
          <w:p w14:paraId="119E396C">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2.能够将构成知识灵活运用于动漫游戏的界面设计、角色造型、场景构图等领域。</w:t>
            </w:r>
          </w:p>
          <w:p w14:paraId="0D824229">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3.培养创新思维和抽象造型能力，提升设计的逻辑性与艺术性。</w:t>
            </w:r>
          </w:p>
        </w:tc>
      </w:tr>
      <w:tr w14:paraId="226C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325" w:type="pct"/>
            <w:vAlign w:val="center"/>
          </w:tcPr>
          <w:p w14:paraId="5FA5C8D0">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4</w:t>
            </w:r>
          </w:p>
        </w:tc>
        <w:tc>
          <w:tcPr>
            <w:tcW w:w="809" w:type="pct"/>
            <w:vAlign w:val="center"/>
          </w:tcPr>
          <w:p w14:paraId="63DD289D">
            <w:pPr>
              <w:overflowPunct w:val="0"/>
              <w:spacing w:line="240" w:lineRule="auto"/>
              <w:ind w:firstLine="0" w:firstLineChars="0"/>
              <w:jc w:val="left"/>
              <w:rPr>
                <w:rFonts w:cs="宋体" w:asciiTheme="minorEastAsia" w:hAnsiTheme="minorEastAsia" w:eastAsiaTheme="minorEastAsia"/>
                <w:bCs/>
                <w:szCs w:val="21"/>
              </w:rPr>
            </w:pPr>
            <w:r>
              <w:rPr>
                <w:rFonts w:hint="eastAsia" w:ascii="等线" w:hAnsi="等线" w:eastAsia="等线"/>
              </w:rPr>
              <w:t>photoshop图像处理</w:t>
            </w:r>
          </w:p>
        </w:tc>
        <w:tc>
          <w:tcPr>
            <w:tcW w:w="1853" w:type="pct"/>
            <w:vAlign w:val="center"/>
          </w:tcPr>
          <w:p w14:paraId="38D91755">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1.软件基础：熟悉PS工作界面、核心工具（图层、蒙版、通道、选区）与基本操作流程。</w:t>
            </w:r>
          </w:p>
          <w:p w14:paraId="0DEAFDEA">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2.数字绘画：学习数位板使用、画笔设置、草图绘制、上色与材质表现技法。</w:t>
            </w:r>
          </w:p>
          <w:p w14:paraId="3B5DFC0F">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3.图像处理：掌握调色、合成、特效制作等技术，用于游戏贴图绘制、概念图修改与优化。</w:t>
            </w:r>
          </w:p>
        </w:tc>
        <w:tc>
          <w:tcPr>
            <w:tcW w:w="2012" w:type="pct"/>
          </w:tcPr>
          <w:p w14:paraId="3BE4EB22">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1.熟练掌握Photoshop核心功能，能高效完成图像编辑、合成与特效制作。</w:t>
            </w:r>
          </w:p>
          <w:p w14:paraId="0FC7E80C">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2.具备基本的数字绘画能力，能够结合素描与色彩知识进行角色或场景的初步设定。</w:t>
            </w:r>
          </w:p>
          <w:p w14:paraId="377EBEEA">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3.能够独立完成游戏素材（如角色立绘、界面元素、宣传图）的处理与制作，满足行业基本需求。</w:t>
            </w:r>
          </w:p>
        </w:tc>
      </w:tr>
    </w:tbl>
    <w:p w14:paraId="63EA1D27">
      <w:pPr>
        <w:pStyle w:val="4"/>
      </w:pPr>
      <w:bookmarkStart w:id="36" w:name="_Toc212238053"/>
      <w:r>
        <w:rPr>
          <w:rFonts w:hint="eastAsia"/>
        </w:rPr>
        <w:t>3.专业核心课</w:t>
      </w:r>
      <w:bookmarkEnd w:id="36"/>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127"/>
        <w:gridCol w:w="1868"/>
        <w:gridCol w:w="4888"/>
      </w:tblGrid>
      <w:tr w14:paraId="056E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75" w:type="pct"/>
            <w:vAlign w:val="center"/>
          </w:tcPr>
          <w:p w14:paraId="12B669EA">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序号</w:t>
            </w:r>
          </w:p>
        </w:tc>
        <w:tc>
          <w:tcPr>
            <w:tcW w:w="661" w:type="pct"/>
            <w:vAlign w:val="center"/>
          </w:tcPr>
          <w:p w14:paraId="3832798A">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课程名称</w:t>
            </w:r>
          </w:p>
        </w:tc>
        <w:tc>
          <w:tcPr>
            <w:tcW w:w="1096" w:type="pct"/>
            <w:vAlign w:val="center"/>
          </w:tcPr>
          <w:p w14:paraId="32288AE2">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课程目标</w:t>
            </w:r>
          </w:p>
        </w:tc>
        <w:tc>
          <w:tcPr>
            <w:tcW w:w="2867" w:type="pct"/>
            <w:vAlign w:val="center"/>
          </w:tcPr>
          <w:p w14:paraId="122955FA">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主要内容</w:t>
            </w:r>
          </w:p>
          <w:p w14:paraId="23B42A0D">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教学要求</w:t>
            </w:r>
          </w:p>
        </w:tc>
      </w:tr>
      <w:tr w14:paraId="57A2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75" w:type="pct"/>
            <w:vAlign w:val="center"/>
          </w:tcPr>
          <w:p w14:paraId="40369AD0">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661" w:type="pct"/>
            <w:vAlign w:val="center"/>
          </w:tcPr>
          <w:p w14:paraId="45A618AF">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网页动画设计</w:t>
            </w:r>
          </w:p>
        </w:tc>
        <w:tc>
          <w:tcPr>
            <w:tcW w:w="1096" w:type="pct"/>
            <w:vAlign w:val="center"/>
          </w:tcPr>
          <w:p w14:paraId="3FEC9E36">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掌握网页动画的基本原理与主流制作技术。通过软件学习与项目实践，学生能够熟练运用工具创建常见的网页动态元素。</w:t>
            </w:r>
          </w:p>
        </w:tc>
        <w:tc>
          <w:tcPr>
            <w:tcW w:w="2867" w:type="pct"/>
          </w:tcPr>
          <w:p w14:paraId="4572C99D">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教学内容：</w:t>
            </w:r>
          </w:p>
          <w:p w14:paraId="27628D58">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1.学习使用Animate等软件制作网页动画。</w:t>
            </w:r>
          </w:p>
          <w:p w14:paraId="37ED4524">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2.掌握逐帧动画、补间动画、图层动画等基础动画技巧。</w:t>
            </w:r>
          </w:p>
          <w:p w14:paraId="46DB0713">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3.学习动画的交互设计基础，能够输出适用于网页的动画作品。</w:t>
            </w:r>
          </w:p>
          <w:p w14:paraId="1C56D6FF">
            <w:pPr>
              <w:overflowPunct w:val="0"/>
              <w:spacing w:line="240" w:lineRule="auto"/>
              <w:ind w:firstLine="0" w:firstLineChars="0"/>
              <w:jc w:val="left"/>
              <w:rPr>
                <w:rFonts w:ascii="宋体" w:hAnsi="宋体" w:eastAsia="等线" w:cs="宋体"/>
                <w:bCs/>
                <w:szCs w:val="21"/>
              </w:rPr>
            </w:pPr>
            <w:r>
              <w:rPr>
                <w:rFonts w:hint="eastAsia" w:ascii="宋体" w:hAnsi="宋体" w:eastAsia="等线" w:cs="宋体"/>
                <w:bCs/>
                <w:szCs w:val="21"/>
              </w:rPr>
              <w:t>教学要求：</w:t>
            </w:r>
          </w:p>
          <w:p w14:paraId="69C72F27">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1.能够熟练操作至少一款主流网页动画制作软件。</w:t>
            </w:r>
          </w:p>
          <w:p w14:paraId="64859DB3">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2.能独立完成简单的网页广告动画、动态Logo等常见商业项目。</w:t>
            </w:r>
          </w:p>
          <w:p w14:paraId="2D734821">
            <w:pPr>
              <w:overflowPunct w:val="0"/>
              <w:spacing w:line="240" w:lineRule="auto"/>
              <w:ind w:firstLine="0" w:firstLineChars="0"/>
              <w:jc w:val="left"/>
              <w:rPr>
                <w:rFonts w:ascii="宋体" w:hAnsi="宋体" w:eastAsia="等线" w:cs="宋体"/>
                <w:bCs/>
                <w:szCs w:val="21"/>
              </w:rPr>
            </w:pPr>
            <w:r>
              <w:rPr>
                <w:rFonts w:ascii="宋体" w:hAnsi="宋体" w:eastAsia="等线" w:cs="宋体"/>
                <w:bCs/>
                <w:szCs w:val="21"/>
              </w:rPr>
              <w:t>3.理解不同格式的优劣，能正确导出和发布动画文件。</w:t>
            </w:r>
          </w:p>
        </w:tc>
      </w:tr>
      <w:tr w14:paraId="5C99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375" w:type="pct"/>
            <w:vAlign w:val="center"/>
          </w:tcPr>
          <w:p w14:paraId="48DFED20">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661" w:type="pct"/>
            <w:vAlign w:val="center"/>
          </w:tcPr>
          <w:p w14:paraId="42CFAF07">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摄影基础</w:t>
            </w:r>
          </w:p>
        </w:tc>
        <w:tc>
          <w:tcPr>
            <w:tcW w:w="1096" w:type="pct"/>
            <w:vAlign w:val="center"/>
          </w:tcPr>
          <w:p w14:paraId="28D2B938">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掌握数码相机的使用技巧和基本的摄影布光方法，能够拍摄出符合平面设计要求的优质照片素材。</w:t>
            </w:r>
          </w:p>
        </w:tc>
        <w:tc>
          <w:tcPr>
            <w:tcW w:w="2867" w:type="pct"/>
            <w:vAlign w:val="center"/>
          </w:tcPr>
          <w:p w14:paraId="3686B44C">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教学内容：</w:t>
            </w:r>
          </w:p>
          <w:p w14:paraId="7DA79AD4">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1.学习相机光圈、快门、感光度（ISO）的配合使用。</w:t>
            </w:r>
          </w:p>
          <w:p w14:paraId="6621FC04">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2.学习构图法则、室内外布光技巧及静物、人像等主题拍摄。</w:t>
            </w:r>
          </w:p>
          <w:p w14:paraId="2F3E2AAD">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3.学习照片的初步后期处理技巧。</w:t>
            </w:r>
          </w:p>
          <w:p w14:paraId="70736A08">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教学要求：</w:t>
            </w:r>
          </w:p>
          <w:p w14:paraId="74470A73">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1.能熟练操作数码相机，根据拍摄意图设置参数。</w:t>
            </w:r>
          </w:p>
          <w:p w14:paraId="279001FB">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2.能运用构图与用光知识，拍摄出清晰、美观、符合设计需求的照片。</w:t>
            </w:r>
          </w:p>
        </w:tc>
      </w:tr>
      <w:tr w14:paraId="79D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375" w:type="pct"/>
            <w:vAlign w:val="center"/>
          </w:tcPr>
          <w:p w14:paraId="78C19785">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661" w:type="pct"/>
            <w:vAlign w:val="center"/>
          </w:tcPr>
          <w:p w14:paraId="106DCFE0">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字体设计</w:t>
            </w:r>
          </w:p>
        </w:tc>
        <w:tc>
          <w:tcPr>
            <w:tcW w:w="1096" w:type="pct"/>
            <w:vAlign w:val="center"/>
          </w:tcPr>
          <w:p w14:paraId="32F9184D">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理解字体的结构与情感特征，掌握基础的字形设计方法与编排技巧，能够完成简单的标志字体和标题字设计。</w:t>
            </w:r>
          </w:p>
        </w:tc>
        <w:tc>
          <w:tcPr>
            <w:tcW w:w="2867" w:type="pct"/>
            <w:vAlign w:val="center"/>
          </w:tcPr>
          <w:p w14:paraId="39426AA0">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教学内容：</w:t>
            </w:r>
          </w:p>
          <w:p w14:paraId="60A3BC8A">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1.学习汉字与西文字体的分类、结构及风格特征。</w:t>
            </w:r>
          </w:p>
          <w:p w14:paraId="0EA085B0">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2.学习创意字体设计的基本方法（如拼接、变形、手写等）。</w:t>
            </w:r>
          </w:p>
          <w:p w14:paraId="60B3E3C2">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3.学习字体在版面中的基础应用与组合编排。</w:t>
            </w:r>
          </w:p>
          <w:p w14:paraId="29D35241">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教学要求：</w:t>
            </w:r>
          </w:p>
          <w:p w14:paraId="0B94438A">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1.能够分析不同字体的风格并正确选用。</w:t>
            </w:r>
          </w:p>
          <w:p w14:paraId="6F1628DC">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2.能独立完成至少一套创意字体（如品牌名称、活动标题）的设计。</w:t>
            </w:r>
          </w:p>
        </w:tc>
      </w:tr>
      <w:tr w14:paraId="0EB1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375" w:type="pct"/>
            <w:vAlign w:val="center"/>
          </w:tcPr>
          <w:p w14:paraId="6DCAF2FA">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661" w:type="pct"/>
            <w:vAlign w:val="center"/>
          </w:tcPr>
          <w:p w14:paraId="5BD98E2A">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版式设计</w:t>
            </w:r>
          </w:p>
        </w:tc>
        <w:tc>
          <w:tcPr>
            <w:tcW w:w="1096" w:type="pct"/>
            <w:vAlign w:val="center"/>
          </w:tcPr>
          <w:p w14:paraId="05977BB2">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掌握平面版式设计的基本原理与形式法则，能够对图文信息进行有效组织，创作出符合视觉规律的版面。</w:t>
            </w:r>
          </w:p>
        </w:tc>
        <w:tc>
          <w:tcPr>
            <w:tcW w:w="2867" w:type="pct"/>
            <w:vAlign w:val="center"/>
          </w:tcPr>
          <w:p w14:paraId="5A62A534">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教学内容：</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1.学习版式中的网格系统、视觉流程、对齐与留白等原则。</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2.学习文字层级划分、图片编排、色彩搭配等综合布局技巧。</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3.完成海报、宣传折页、画册等综合项目的版面设计。</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教学要求：</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1.能熟练运用版式原则，使版面信息清晰、主次分明、美观大方。</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2.能独立完成至少两种以上商业平面作品的版式设计。</w:t>
            </w:r>
          </w:p>
        </w:tc>
      </w:tr>
      <w:tr w14:paraId="231E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375" w:type="pct"/>
            <w:vAlign w:val="center"/>
          </w:tcPr>
          <w:p w14:paraId="6119CF6E">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661" w:type="pct"/>
            <w:vAlign w:val="center"/>
          </w:tcPr>
          <w:p w14:paraId="2396419B">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VI广告设计</w:t>
            </w:r>
          </w:p>
        </w:tc>
        <w:tc>
          <w:tcPr>
            <w:tcW w:w="1096" w:type="pct"/>
            <w:vAlign w:val="center"/>
          </w:tcPr>
          <w:p w14:paraId="60059589">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理解企业视觉识别系统（VI）的概念，掌握基础VI手册的编制规范，能够完成标志设计及核心应用项目的设计。</w:t>
            </w:r>
          </w:p>
        </w:tc>
        <w:tc>
          <w:tcPr>
            <w:tcW w:w="2867" w:type="pct"/>
            <w:vAlign w:val="center"/>
          </w:tcPr>
          <w:p w14:paraId="3921691B">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教学内容：</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1.学习VI系统的基础知识与企业标志设计方法。</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2.学习VI手册的编制规范，完成名片、信纸、办公用品等基础部分设计。</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3.结合广告设计知识，完成与企业形象一致的宣传海报或广告。</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教学要求：</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1.能理解品牌形象的一致性要求。</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2.能为一虚构企业设计标志并完成基础的VI应用部分设计。</w:t>
            </w:r>
          </w:p>
        </w:tc>
      </w:tr>
      <w:tr w14:paraId="135A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375" w:type="pct"/>
            <w:vAlign w:val="center"/>
          </w:tcPr>
          <w:p w14:paraId="2BF53C4F">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661" w:type="pct"/>
            <w:vAlign w:val="center"/>
          </w:tcPr>
          <w:p w14:paraId="103D13B4">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UI设计</w:t>
            </w:r>
          </w:p>
        </w:tc>
        <w:tc>
          <w:tcPr>
            <w:tcW w:w="1096" w:type="pct"/>
            <w:vAlign w:val="center"/>
          </w:tcPr>
          <w:p w14:paraId="409E14F0">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理解用户体验（UX）基本概念，掌握移动端界面设计的流程与规范，能够完成APP或网页的界面视觉设计。</w:t>
            </w:r>
          </w:p>
        </w:tc>
        <w:tc>
          <w:tcPr>
            <w:tcW w:w="2867" w:type="pct"/>
            <w:vAlign w:val="center"/>
          </w:tcPr>
          <w:p w14:paraId="0D20E794">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教学内容：</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1.学习UI设计流程、iOS/Android设计规范及图标设计。</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2.学习使用Figma、Sketch等软件进行界面布局、组件制作与页面设计。</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3.学习制作简单的可交互原型以展示设计效果。</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教学要求：</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1.能遵循平台设计规范，独立完成一套完整的APP主要界面视觉设计。</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2.能使用软件基础功能制作简单的页面跳转交互原型。</w:t>
            </w:r>
          </w:p>
        </w:tc>
      </w:tr>
      <w:tr w14:paraId="12F9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75" w:type="pct"/>
            <w:vAlign w:val="center"/>
          </w:tcPr>
          <w:p w14:paraId="54412722">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661" w:type="pct"/>
          </w:tcPr>
          <w:p w14:paraId="1ECFEB8E">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标志设计</w:t>
            </w:r>
          </w:p>
        </w:tc>
        <w:tc>
          <w:tcPr>
            <w:tcW w:w="1096" w:type="pct"/>
          </w:tcPr>
          <w:p w14:paraId="4B5F10C1">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掌握标志设计的创意方法与规范化制图流程，能够根据客户需求完成具有识别度和美感的标志设计方案。</w:t>
            </w:r>
          </w:p>
        </w:tc>
        <w:tc>
          <w:tcPr>
            <w:tcW w:w="2867" w:type="pct"/>
          </w:tcPr>
          <w:p w14:paraId="59CD3914">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教学内容：</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1.学习标志的创意构思、草图绘制与数字化呈现。</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2.学习标志的标准制图、标准色与辅助图形设计。</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3.学习撰写简单的标志设计说明，阐述设计理念。</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教学要求：</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1.能独立完成从调研、构思到成品的完整标志设计流程。</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2.能运用标准制图法规范地表现标志，并输出设计方案图。</w:t>
            </w:r>
          </w:p>
        </w:tc>
      </w:tr>
    </w:tbl>
    <w:p w14:paraId="0C9E47A0">
      <w:pPr>
        <w:pStyle w:val="4"/>
      </w:pPr>
      <w:bookmarkStart w:id="37" w:name="_Toc212238054"/>
      <w:r>
        <w:rPr>
          <w:rFonts w:hint="eastAsia"/>
        </w:rPr>
        <w:t>4.专业拓展课</w:t>
      </w:r>
      <w:bookmarkEnd w:id="37"/>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27"/>
        <w:gridCol w:w="2252"/>
        <w:gridCol w:w="4505"/>
      </w:tblGrid>
      <w:tr w14:paraId="5907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75" w:type="pct"/>
            <w:vAlign w:val="center"/>
          </w:tcPr>
          <w:p w14:paraId="7D6F8934">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序号</w:t>
            </w:r>
          </w:p>
        </w:tc>
        <w:tc>
          <w:tcPr>
            <w:tcW w:w="661" w:type="pct"/>
            <w:vAlign w:val="center"/>
          </w:tcPr>
          <w:p w14:paraId="2E8E3736">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课程名称</w:t>
            </w:r>
          </w:p>
        </w:tc>
        <w:tc>
          <w:tcPr>
            <w:tcW w:w="1321" w:type="pct"/>
            <w:vAlign w:val="center"/>
          </w:tcPr>
          <w:p w14:paraId="4A37FB82">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课程目标</w:t>
            </w:r>
          </w:p>
        </w:tc>
        <w:tc>
          <w:tcPr>
            <w:tcW w:w="2643" w:type="pct"/>
            <w:vAlign w:val="center"/>
          </w:tcPr>
          <w:p w14:paraId="36B37F09">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主要内容</w:t>
            </w:r>
          </w:p>
          <w:p w14:paraId="37731AAF">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教学要求</w:t>
            </w:r>
          </w:p>
        </w:tc>
      </w:tr>
      <w:tr w14:paraId="3B0F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375" w:type="pct"/>
            <w:vAlign w:val="center"/>
          </w:tcPr>
          <w:p w14:paraId="56E772D9">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661" w:type="pct"/>
            <w:vAlign w:val="center"/>
          </w:tcPr>
          <w:p w14:paraId="54DA5FB3">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书籍设计</w:t>
            </w:r>
          </w:p>
        </w:tc>
        <w:tc>
          <w:tcPr>
            <w:tcW w:w="1321" w:type="pct"/>
            <w:vAlign w:val="center"/>
          </w:tcPr>
          <w:p w14:paraId="39FB77CD">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掌握书籍装帧设计的基本流程与规范，能够独立完成一本宣传画册或书籍的封面及内页的整体设计。</w:t>
            </w:r>
          </w:p>
        </w:tc>
        <w:tc>
          <w:tcPr>
            <w:tcW w:w="2643" w:type="pct"/>
            <w:vAlign w:val="center"/>
          </w:tcPr>
          <w:p w14:paraId="7A4A799A">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教学内容：</w:t>
            </w:r>
          </w:p>
          <w:p w14:paraId="7A589CFB">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1.学习书籍的结构（封面、书脊、封底、扉页、内页）及设计要素。</w:t>
            </w:r>
          </w:p>
          <w:p w14:paraId="6055B8AB">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2.学习网格系统在书籍排版中的深入应用，处理图文混排与页眉页脚。</w:t>
            </w:r>
          </w:p>
          <w:p w14:paraId="1AC10197">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3.完成一本宣传册或书籍的完整设计项目。</w:t>
            </w:r>
          </w:p>
          <w:p w14:paraId="6A79346E">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教学要求：</w:t>
            </w:r>
          </w:p>
          <w:p w14:paraId="41E4EB8B">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1.能理解并应用书籍设计的基本规范。</w:t>
            </w:r>
          </w:p>
          <w:p w14:paraId="41AE88C1">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2.能独立完成一本不少于8页的画册或书籍的完整视觉设计。</w:t>
            </w:r>
          </w:p>
        </w:tc>
      </w:tr>
      <w:tr w14:paraId="5F64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375" w:type="pct"/>
            <w:vAlign w:val="center"/>
          </w:tcPr>
          <w:p w14:paraId="4E1B4D0D">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661" w:type="pct"/>
            <w:vAlign w:val="center"/>
          </w:tcPr>
          <w:p w14:paraId="63C2E7D3">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包装设计</w:t>
            </w:r>
          </w:p>
        </w:tc>
        <w:tc>
          <w:tcPr>
            <w:tcW w:w="1321" w:type="pct"/>
            <w:vAlign w:val="center"/>
          </w:tcPr>
          <w:p w14:paraId="31C792FE">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理解包装的基本功能与结构，掌握包装的视觉设计方法，能够完成一款产品的包装造型与平面视觉设计。</w:t>
            </w:r>
          </w:p>
        </w:tc>
        <w:tc>
          <w:tcPr>
            <w:tcW w:w="2643" w:type="pct"/>
            <w:vAlign w:val="center"/>
          </w:tcPr>
          <w:p w14:paraId="1FA758E8">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教学内容：</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1.学习包装材料的特性、常见盒型结构与展开图绘制。</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2.学习包装的主视觉、文字信息、品牌标识的布局与设计。</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3.运用软件完成一款产品包装的平面效果图与立体效果图。</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教学要求：</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1.能根据产品特性，设计出结构合理、视觉突出的包装。</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2.能熟练绘制包装展开图，并输出精美的平面与立体效果图。</w:t>
            </w:r>
          </w:p>
        </w:tc>
      </w:tr>
      <w:tr w14:paraId="7B88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375" w:type="pct"/>
            <w:vAlign w:val="center"/>
          </w:tcPr>
          <w:p w14:paraId="4D2EA536">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661" w:type="pct"/>
          </w:tcPr>
          <w:p w14:paraId="292DF270">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手绘pop海报设计</w:t>
            </w:r>
          </w:p>
        </w:tc>
        <w:tc>
          <w:tcPr>
            <w:tcW w:w="1321" w:type="pct"/>
          </w:tcPr>
          <w:p w14:paraId="6143E5C0">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掌握手绘POP海报的快速表现技法，能够不依赖电脑，快速完成具有强烈视觉冲击力的商业海报。</w:t>
            </w:r>
          </w:p>
        </w:tc>
        <w:tc>
          <w:tcPr>
            <w:tcW w:w="2643" w:type="pct"/>
          </w:tcPr>
          <w:p w14:paraId="622CE308">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教学内容：</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1.学习POP字体的特殊写法与装饰技巧。</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2.学习手绘插画、边框及版面的快速编排方法。</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3.使用马克笔、彩铅等工具进行综合实践。</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教学要求：</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1.能徒手书写标准的POP字体，并对其进行创意装饰。</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2.能在一小时内独立完成一张主题明确、构图完整的手绘POP海报。</w:t>
            </w:r>
          </w:p>
        </w:tc>
      </w:tr>
      <w:tr w14:paraId="08B5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375" w:type="pct"/>
            <w:vAlign w:val="center"/>
          </w:tcPr>
          <w:p w14:paraId="2EEA36C7">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661" w:type="pct"/>
          </w:tcPr>
          <w:p w14:paraId="24662760">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H5制作</w:t>
            </w:r>
          </w:p>
        </w:tc>
        <w:tc>
          <w:tcPr>
            <w:tcW w:w="1321" w:type="pct"/>
          </w:tcPr>
          <w:p w14:paraId="7F50CAF2">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掌握H5页面（移动端互动网页）的制作工具与流程，能够制作适用于营销推广的互动式动态页面。</w:t>
            </w:r>
          </w:p>
        </w:tc>
        <w:tc>
          <w:tcPr>
            <w:tcW w:w="2643" w:type="pct"/>
          </w:tcPr>
          <w:p w14:paraId="43F9CD34">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教学内容：</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1.学习使用意派Epub360、iH5或MAKA等在线H5制作平台。</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2.学习页面切换、动画触发、表单收集等基础交互功能。</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3.完成一个完整的H5推广页面项目（如企业宣传、活动邀请）。</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教学要求：</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1.能熟练使用一款H5制作工具，独立搭建动态页面。</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2.能制作出包含图文、音频、动画及基础交互的完整H5作品。</w:t>
            </w:r>
          </w:p>
        </w:tc>
      </w:tr>
      <w:tr w14:paraId="34B2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375" w:type="pct"/>
            <w:vAlign w:val="center"/>
          </w:tcPr>
          <w:p w14:paraId="01FEA9E0">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661" w:type="pct"/>
            <w:vAlign w:val="center"/>
          </w:tcPr>
          <w:p w14:paraId="4AE0229C">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手工制作</w:t>
            </w:r>
          </w:p>
        </w:tc>
        <w:tc>
          <w:tcPr>
            <w:tcW w:w="1321" w:type="pct"/>
          </w:tcPr>
          <w:p w14:paraId="50A462EC">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通过动手实践，将二维设计转化为三维实物，深化对空间、结构和材质的理解，提升综合造型能力。</w:t>
            </w:r>
          </w:p>
        </w:tc>
        <w:tc>
          <w:tcPr>
            <w:tcW w:w="2643" w:type="pct"/>
          </w:tcPr>
          <w:p w14:paraId="142CC3A7">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教学内容：</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1.学习使用卡纸、模型板等材料进行立体构成与模型制作。</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2.制作创意书籍、包装模型或品牌展示台等实物作品。</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3.学习基础的材料加工与粘合技法。</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教学要求：</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1.能看懂三视图并将设计稿转化为精确的实物模型。</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2.能独立完成一个结构稳固、做工精细的平面设计实物模型。</w:t>
            </w:r>
          </w:p>
        </w:tc>
      </w:tr>
      <w:tr w14:paraId="0888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375" w:type="pct"/>
            <w:vAlign w:val="center"/>
          </w:tcPr>
          <w:p w14:paraId="4B4A2BEF">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661" w:type="pct"/>
            <w:vAlign w:val="center"/>
          </w:tcPr>
          <w:p w14:paraId="6041E719">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CAD平面图制作</w:t>
            </w:r>
          </w:p>
        </w:tc>
        <w:tc>
          <w:tcPr>
            <w:tcW w:w="1321" w:type="pct"/>
          </w:tcPr>
          <w:p w14:paraId="0E49E1FB">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掌握AutoCAD软件的基础操作，能够绘制规范的平面布局图与尺寸图，为环境视觉设计打下基础。</w:t>
            </w:r>
          </w:p>
        </w:tc>
        <w:tc>
          <w:tcPr>
            <w:tcW w:w="2643" w:type="pct"/>
          </w:tcPr>
          <w:p w14:paraId="5184AC58">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教学内容：</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1.学习AutoCAD的基本命令，如图层、线型、标注等。</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2.学习绘制室内平面图、展位布局图或店面视觉规划图。</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3.掌握规范的制图标准，输出打印图纸。</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教学要求：</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1.能熟练使用CAD软件，按照国家制图规范进行绘图。</w:t>
            </w:r>
            <w:r>
              <w:rPr>
                <w:rFonts w:cs="宋体" w:asciiTheme="minorEastAsia" w:hAnsiTheme="minorEastAsia" w:eastAsiaTheme="minorEastAsia"/>
                <w:bCs/>
                <w:szCs w:val="21"/>
              </w:rPr>
              <w:br w:type="textWrapping"/>
            </w:r>
            <w:r>
              <w:rPr>
                <w:rFonts w:cs="宋体" w:asciiTheme="minorEastAsia" w:hAnsiTheme="minorEastAsia" w:eastAsiaTheme="minorEastAsia"/>
                <w:bCs/>
                <w:szCs w:val="21"/>
              </w:rPr>
              <w:t>2.能独立绘制一张标注清晰、信息准确的店铺平面布局图。</w:t>
            </w:r>
          </w:p>
        </w:tc>
      </w:tr>
    </w:tbl>
    <w:p w14:paraId="10BA74BE">
      <w:pPr>
        <w:ind w:firstLine="480"/>
        <w:rPr>
          <w:lang w:val="zh-CN"/>
        </w:rPr>
      </w:pPr>
    </w:p>
    <w:p w14:paraId="2D95D9C0">
      <w:pPr>
        <w:pStyle w:val="4"/>
      </w:pPr>
      <w:r>
        <w:rPr>
          <w:rFonts w:hint="eastAsia"/>
        </w:rPr>
        <w:t>5.实践性教学环节</w:t>
      </w:r>
    </w:p>
    <w:p w14:paraId="09446AD8">
      <w:pPr>
        <w:ind w:firstLine="480"/>
      </w:pPr>
      <w:r>
        <w:rPr>
          <w:rFonts w:hint="eastAsia"/>
        </w:rPr>
        <w:t>按照</w:t>
      </w:r>
      <w:r>
        <w:t>2022年1月教育部等八部门联合印发新修订的《职业学校学生实习管理规定》中明确提出“学生实习的本质是教学活动，是实践教学的重要环节。”实习环节是职业教育的重要组成部分，也是不可缺少的重要环节之一，是培养学生职业素养、加强学生实践能力、提高综合职业能力、了解社会需求、熟悉和适应将来工作岗位的重要途径，特别是通过岗位实习，找出自己的差距和不足，以便在老师的指导和帮助下,提高工作岗位的适应能力和综合职业能力，毕业后能根据自己的个性特点、心理特征、技能水平、能力、体力等要求找到自己满意的工作，为尽</w:t>
      </w:r>
      <w:r>
        <w:rPr>
          <w:rFonts w:hint="eastAsia"/>
        </w:rPr>
        <w:t>快适应社会和自己的工作打下良好的基础。本专业设置集中性实践环节共2个：</w:t>
      </w:r>
    </w:p>
    <w:p w14:paraId="2A7C7B2B">
      <w:pPr>
        <w:ind w:firstLine="482"/>
        <w:jc w:val="center"/>
        <w:rPr>
          <w:rStyle w:val="44"/>
        </w:rPr>
      </w:pPr>
      <w:r>
        <w:rPr>
          <w:rStyle w:val="44"/>
          <w:rFonts w:hint="eastAsia"/>
        </w:rPr>
        <w:t>教学实践、综合项目实践</w:t>
      </w:r>
    </w:p>
    <w:tbl>
      <w:tblPr>
        <w:tblStyle w:val="1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033"/>
        <w:gridCol w:w="1938"/>
        <w:gridCol w:w="1762"/>
        <w:gridCol w:w="3015"/>
      </w:tblGrid>
      <w:tr w14:paraId="28F8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54" w:type="pct"/>
            <w:vAlign w:val="center"/>
          </w:tcPr>
          <w:p w14:paraId="5A32963A">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类型</w:t>
            </w:r>
          </w:p>
        </w:tc>
        <w:tc>
          <w:tcPr>
            <w:tcW w:w="606" w:type="pct"/>
            <w:vAlign w:val="center"/>
          </w:tcPr>
          <w:p w14:paraId="63A96740">
            <w:pPr>
              <w:overflowPunct w:val="0"/>
              <w:spacing w:line="400" w:lineRule="exact"/>
              <w:ind w:firstLine="0" w:firstLineChars="0"/>
              <w:jc w:val="center"/>
              <w:rPr>
                <w:rFonts w:cs="宋体" w:asciiTheme="majorEastAsia" w:hAnsiTheme="majorEastAsia" w:eastAsiaTheme="majorEastAsia"/>
                <w:b/>
                <w:szCs w:val="21"/>
              </w:rPr>
            </w:pPr>
            <w:r>
              <w:rPr>
                <w:rFonts w:cs="宋体" w:asciiTheme="majorEastAsia" w:hAnsiTheme="majorEastAsia" w:eastAsiaTheme="majorEastAsia"/>
                <w:b/>
                <w:szCs w:val="21"/>
              </w:rPr>
              <w:t>项目</w:t>
            </w:r>
          </w:p>
        </w:tc>
        <w:tc>
          <w:tcPr>
            <w:tcW w:w="1137" w:type="pct"/>
            <w:vAlign w:val="center"/>
          </w:tcPr>
          <w:p w14:paraId="480E8BF7">
            <w:pPr>
              <w:overflowPunct w:val="0"/>
              <w:spacing w:line="400" w:lineRule="exact"/>
              <w:ind w:firstLine="0" w:firstLineChars="0"/>
              <w:jc w:val="center"/>
              <w:rPr>
                <w:rFonts w:cs="宋体" w:asciiTheme="majorEastAsia" w:hAnsiTheme="majorEastAsia" w:eastAsiaTheme="majorEastAsia"/>
                <w:b/>
                <w:szCs w:val="21"/>
              </w:rPr>
            </w:pPr>
            <w:r>
              <w:rPr>
                <w:rFonts w:cs="宋体" w:asciiTheme="majorEastAsia" w:hAnsiTheme="majorEastAsia" w:eastAsiaTheme="majorEastAsia"/>
                <w:b/>
                <w:szCs w:val="21"/>
              </w:rPr>
              <w:t>目标</w:t>
            </w:r>
          </w:p>
        </w:tc>
        <w:tc>
          <w:tcPr>
            <w:tcW w:w="1034" w:type="pct"/>
            <w:vAlign w:val="center"/>
          </w:tcPr>
          <w:p w14:paraId="5B522A89">
            <w:pPr>
              <w:overflowPunct w:val="0"/>
              <w:spacing w:line="400" w:lineRule="exact"/>
              <w:ind w:firstLine="0" w:firstLineChars="0"/>
              <w:jc w:val="center"/>
              <w:rPr>
                <w:rFonts w:cs="宋体" w:asciiTheme="majorEastAsia" w:hAnsiTheme="majorEastAsia" w:eastAsiaTheme="majorEastAsia"/>
                <w:b/>
                <w:szCs w:val="21"/>
              </w:rPr>
            </w:pPr>
            <w:r>
              <w:rPr>
                <w:rFonts w:cs="宋体" w:asciiTheme="majorEastAsia" w:hAnsiTheme="majorEastAsia" w:eastAsiaTheme="majorEastAsia"/>
                <w:b/>
                <w:szCs w:val="21"/>
              </w:rPr>
              <w:t>时间</w:t>
            </w:r>
          </w:p>
        </w:tc>
        <w:tc>
          <w:tcPr>
            <w:tcW w:w="1769" w:type="pct"/>
            <w:vAlign w:val="center"/>
          </w:tcPr>
          <w:p w14:paraId="0B275D90">
            <w:pPr>
              <w:overflowPunct w:val="0"/>
              <w:spacing w:line="400" w:lineRule="exact"/>
              <w:ind w:firstLine="0" w:firstLineChars="0"/>
              <w:jc w:val="center"/>
              <w:rPr>
                <w:rFonts w:cs="宋体" w:asciiTheme="majorEastAsia" w:hAnsiTheme="majorEastAsia" w:eastAsiaTheme="majorEastAsia"/>
                <w:b/>
                <w:szCs w:val="21"/>
              </w:rPr>
            </w:pPr>
            <w:r>
              <w:rPr>
                <w:rFonts w:cs="宋体" w:asciiTheme="majorEastAsia" w:hAnsiTheme="majorEastAsia" w:eastAsiaTheme="majorEastAsia"/>
                <w:b/>
                <w:szCs w:val="21"/>
              </w:rPr>
              <w:t>主要内容及要求</w:t>
            </w:r>
          </w:p>
        </w:tc>
      </w:tr>
      <w:tr w14:paraId="03B0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454" w:type="pct"/>
            <w:vMerge w:val="restart"/>
            <w:vAlign w:val="center"/>
          </w:tcPr>
          <w:p w14:paraId="6EE5CBBD">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实训</w:t>
            </w:r>
          </w:p>
        </w:tc>
        <w:tc>
          <w:tcPr>
            <w:tcW w:w="606" w:type="pct"/>
            <w:vAlign w:val="center"/>
          </w:tcPr>
          <w:p w14:paraId="067C6D05">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教学实践</w:t>
            </w:r>
          </w:p>
        </w:tc>
        <w:tc>
          <w:tcPr>
            <w:tcW w:w="1137" w:type="pct"/>
            <w:vAlign w:val="center"/>
          </w:tcPr>
          <w:p w14:paraId="4D5C4918">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培养实际操作能力、</w:t>
            </w:r>
            <w:r>
              <w:rPr>
                <w:rFonts w:hint="eastAsia" w:cs="宋体" w:asciiTheme="minorEastAsia" w:hAnsiTheme="minorEastAsia" w:eastAsiaTheme="minorEastAsia"/>
                <w:bCs/>
                <w:szCs w:val="21"/>
              </w:rPr>
              <w:t>审美能力、</w:t>
            </w:r>
            <w:r>
              <w:rPr>
                <w:rFonts w:cs="宋体" w:asciiTheme="minorEastAsia" w:hAnsiTheme="minorEastAsia" w:eastAsiaTheme="minorEastAsia"/>
                <w:bCs/>
                <w:szCs w:val="21"/>
              </w:rPr>
              <w:t>创新能力和</w:t>
            </w:r>
            <w:r>
              <w:rPr>
                <w:rFonts w:hint="eastAsia" w:cs="宋体" w:asciiTheme="minorEastAsia" w:hAnsiTheme="minorEastAsia" w:eastAsiaTheme="minorEastAsia"/>
                <w:bCs/>
                <w:szCs w:val="21"/>
              </w:rPr>
              <w:t>动手</w:t>
            </w:r>
            <w:r>
              <w:rPr>
                <w:rFonts w:cs="宋体" w:asciiTheme="minorEastAsia" w:hAnsiTheme="minorEastAsia" w:eastAsiaTheme="minorEastAsia"/>
                <w:bCs/>
                <w:szCs w:val="21"/>
              </w:rPr>
              <w:t>能力</w:t>
            </w:r>
          </w:p>
        </w:tc>
        <w:tc>
          <w:tcPr>
            <w:tcW w:w="1034" w:type="pct"/>
            <w:vAlign w:val="center"/>
          </w:tcPr>
          <w:p w14:paraId="2EF5BB58">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第</w:t>
            </w:r>
            <w:r>
              <w:rPr>
                <w:rFonts w:hint="eastAsia" w:cs="宋体" w:asciiTheme="minorEastAsia" w:hAnsiTheme="minorEastAsia" w:eastAsiaTheme="minorEastAsia"/>
                <w:bCs/>
                <w:szCs w:val="21"/>
              </w:rPr>
              <w:t>一</w:t>
            </w:r>
            <w:r>
              <w:rPr>
                <w:rFonts w:cs="宋体" w:asciiTheme="minorEastAsia" w:hAnsiTheme="minorEastAsia" w:eastAsiaTheme="minorEastAsia"/>
                <w:bCs/>
                <w:szCs w:val="21"/>
              </w:rPr>
              <w:t>学年第</w:t>
            </w:r>
            <w:r>
              <w:rPr>
                <w:rFonts w:hint="eastAsia" w:cs="宋体" w:asciiTheme="minorEastAsia" w:hAnsiTheme="minorEastAsia" w:eastAsiaTheme="minorEastAsia"/>
                <w:bCs/>
                <w:szCs w:val="21"/>
              </w:rPr>
              <w:t>二</w:t>
            </w:r>
            <w:r>
              <w:rPr>
                <w:rFonts w:cs="宋体" w:asciiTheme="minorEastAsia" w:hAnsiTheme="minorEastAsia" w:eastAsiaTheme="minorEastAsia"/>
                <w:bCs/>
                <w:szCs w:val="21"/>
              </w:rPr>
              <w:t>学期至第二学年第</w:t>
            </w:r>
            <w:r>
              <w:rPr>
                <w:rFonts w:hint="eastAsia" w:cs="宋体" w:asciiTheme="minorEastAsia" w:hAnsiTheme="minorEastAsia" w:eastAsiaTheme="minorEastAsia"/>
                <w:bCs/>
                <w:szCs w:val="21"/>
              </w:rPr>
              <w:t>一</w:t>
            </w:r>
            <w:r>
              <w:rPr>
                <w:rFonts w:cs="宋体" w:asciiTheme="minorEastAsia" w:hAnsiTheme="minorEastAsia" w:eastAsiaTheme="minorEastAsia"/>
                <w:bCs/>
                <w:szCs w:val="21"/>
              </w:rPr>
              <w:t>学期</w:t>
            </w:r>
          </w:p>
        </w:tc>
        <w:tc>
          <w:tcPr>
            <w:tcW w:w="1769" w:type="pct"/>
            <w:vAlign w:val="center"/>
          </w:tcPr>
          <w:p w14:paraId="34B721A5">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学生在</w:t>
            </w:r>
            <w:r>
              <w:rPr>
                <w:rFonts w:hint="eastAsia" w:cs="宋体" w:asciiTheme="minorEastAsia" w:hAnsiTheme="minorEastAsia" w:eastAsiaTheme="minorEastAsia"/>
                <w:bCs/>
                <w:szCs w:val="21"/>
              </w:rPr>
              <w:t>校外</w:t>
            </w:r>
            <w:r>
              <w:rPr>
                <w:rFonts w:cs="宋体" w:asciiTheme="minorEastAsia" w:hAnsiTheme="minorEastAsia" w:eastAsiaTheme="minorEastAsia"/>
                <w:bCs/>
                <w:szCs w:val="21"/>
              </w:rPr>
              <w:t>进行课程实践，包括</w:t>
            </w:r>
            <w:r>
              <w:rPr>
                <w:rFonts w:hint="eastAsia" w:cs="宋体" w:asciiTheme="minorEastAsia" w:hAnsiTheme="minorEastAsia" w:eastAsiaTheme="minorEastAsia"/>
                <w:bCs/>
                <w:szCs w:val="21"/>
              </w:rPr>
              <w:t>风景速写、风景素描、色彩绘画</w:t>
            </w:r>
            <w:r>
              <w:rPr>
                <w:rFonts w:cs="宋体" w:asciiTheme="minorEastAsia" w:hAnsiTheme="minorEastAsia" w:eastAsiaTheme="minorEastAsia"/>
                <w:bCs/>
                <w:szCs w:val="21"/>
              </w:rPr>
              <w:t>和</w:t>
            </w:r>
            <w:r>
              <w:rPr>
                <w:rFonts w:hint="eastAsia" w:cs="宋体" w:asciiTheme="minorEastAsia" w:hAnsiTheme="minorEastAsia" w:eastAsiaTheme="minorEastAsia"/>
                <w:bCs/>
                <w:szCs w:val="21"/>
              </w:rPr>
              <w:t>课程</w:t>
            </w:r>
            <w:r>
              <w:rPr>
                <w:rFonts w:cs="宋体" w:asciiTheme="minorEastAsia" w:hAnsiTheme="minorEastAsia" w:eastAsiaTheme="minorEastAsia"/>
                <w:bCs/>
                <w:szCs w:val="21"/>
              </w:rPr>
              <w:t>评价</w:t>
            </w:r>
          </w:p>
        </w:tc>
      </w:tr>
      <w:tr w14:paraId="4B27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454" w:type="pct"/>
            <w:vMerge w:val="continue"/>
            <w:vAlign w:val="center"/>
          </w:tcPr>
          <w:p w14:paraId="3DCC42CD">
            <w:pPr>
              <w:overflowPunct w:val="0"/>
              <w:spacing w:line="240" w:lineRule="auto"/>
              <w:ind w:firstLine="0" w:firstLineChars="0"/>
              <w:jc w:val="left"/>
              <w:rPr>
                <w:rFonts w:cs="宋体" w:asciiTheme="minorEastAsia" w:hAnsiTheme="minorEastAsia" w:eastAsiaTheme="minorEastAsia"/>
                <w:bCs/>
                <w:szCs w:val="21"/>
              </w:rPr>
            </w:pPr>
          </w:p>
        </w:tc>
        <w:tc>
          <w:tcPr>
            <w:tcW w:w="606" w:type="pct"/>
            <w:vAlign w:val="center"/>
          </w:tcPr>
          <w:p w14:paraId="4A33CACF">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校内任务实训</w:t>
            </w:r>
          </w:p>
        </w:tc>
        <w:tc>
          <w:tcPr>
            <w:tcW w:w="1137" w:type="pct"/>
            <w:vAlign w:val="center"/>
          </w:tcPr>
          <w:p w14:paraId="355F9550">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独立完成一本书籍的完整设计装帧方案，掌握从构思到成品呈现的全流程</w:t>
            </w:r>
          </w:p>
        </w:tc>
        <w:tc>
          <w:tcPr>
            <w:tcW w:w="1034" w:type="pct"/>
            <w:vAlign w:val="center"/>
          </w:tcPr>
          <w:p w14:paraId="7C56C890">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第二学年的第二学期</w:t>
            </w:r>
          </w:p>
        </w:tc>
        <w:tc>
          <w:tcPr>
            <w:tcW w:w="1769" w:type="pct"/>
            <w:vAlign w:val="center"/>
          </w:tcPr>
          <w:p w14:paraId="41F7F54A">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完成书籍封面、封底、书脊及版式设计，需包含主题创意、文字编排与色彩搭配。最终输出打印成品并完成手工装帧，作品需体现专业规范与艺术表现力。</w:t>
            </w:r>
          </w:p>
        </w:tc>
      </w:tr>
      <w:tr w14:paraId="4E47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454" w:type="pct"/>
            <w:vAlign w:val="center"/>
          </w:tcPr>
          <w:p w14:paraId="783812D6">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综合项目实践</w:t>
            </w:r>
          </w:p>
        </w:tc>
        <w:tc>
          <w:tcPr>
            <w:tcW w:w="606" w:type="pct"/>
            <w:vAlign w:val="center"/>
          </w:tcPr>
          <w:p w14:paraId="64FBF646">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企业项目实训</w:t>
            </w:r>
          </w:p>
        </w:tc>
        <w:tc>
          <w:tcPr>
            <w:tcW w:w="1137" w:type="pct"/>
            <w:vAlign w:val="center"/>
          </w:tcPr>
          <w:p w14:paraId="25189261">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学习实践操作技能，熟悉设计公司工作流程</w:t>
            </w:r>
          </w:p>
        </w:tc>
        <w:tc>
          <w:tcPr>
            <w:tcW w:w="1034" w:type="pct"/>
            <w:vAlign w:val="center"/>
          </w:tcPr>
          <w:p w14:paraId="3CDA8AD2">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第</w:t>
            </w:r>
            <w:r>
              <w:rPr>
                <w:rFonts w:hint="eastAsia" w:cs="宋体" w:asciiTheme="minorEastAsia" w:hAnsiTheme="minorEastAsia" w:eastAsiaTheme="minorEastAsia"/>
                <w:bCs/>
                <w:szCs w:val="21"/>
              </w:rPr>
              <w:t>三学年的第一学期和第二学期</w:t>
            </w:r>
          </w:p>
        </w:tc>
        <w:tc>
          <w:tcPr>
            <w:tcW w:w="1769" w:type="pct"/>
            <w:vAlign w:val="center"/>
          </w:tcPr>
          <w:p w14:paraId="55E12AC8">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学生跟随设计公司专业人员进行实习，参与项目，学习实践操作技能</w:t>
            </w:r>
          </w:p>
        </w:tc>
      </w:tr>
      <w:tr w14:paraId="5948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454" w:type="pct"/>
            <w:vAlign w:val="center"/>
          </w:tcPr>
          <w:p w14:paraId="15631DA9">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顶岗实习</w:t>
            </w:r>
          </w:p>
        </w:tc>
        <w:tc>
          <w:tcPr>
            <w:tcW w:w="606" w:type="pct"/>
            <w:vAlign w:val="center"/>
          </w:tcPr>
          <w:p w14:paraId="167BFF8C">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企业</w:t>
            </w:r>
            <w:r>
              <w:rPr>
                <w:rFonts w:cs="宋体" w:asciiTheme="minorEastAsia" w:hAnsiTheme="minorEastAsia" w:eastAsiaTheme="minorEastAsia"/>
                <w:bCs/>
                <w:szCs w:val="21"/>
              </w:rPr>
              <w:t>顶岗实习</w:t>
            </w:r>
          </w:p>
        </w:tc>
        <w:tc>
          <w:tcPr>
            <w:tcW w:w="1137" w:type="pct"/>
            <w:vAlign w:val="center"/>
          </w:tcPr>
          <w:p w14:paraId="61D2DEC7">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学习实践操作技能，熟悉设计公司工作流程</w:t>
            </w:r>
          </w:p>
        </w:tc>
        <w:tc>
          <w:tcPr>
            <w:tcW w:w="1034" w:type="pct"/>
            <w:vAlign w:val="center"/>
          </w:tcPr>
          <w:p w14:paraId="23E62ED4">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第</w:t>
            </w:r>
            <w:r>
              <w:rPr>
                <w:rFonts w:hint="eastAsia" w:cs="宋体" w:asciiTheme="minorEastAsia" w:hAnsiTheme="minorEastAsia" w:eastAsiaTheme="minorEastAsia"/>
                <w:bCs/>
                <w:szCs w:val="21"/>
              </w:rPr>
              <w:t>三</w:t>
            </w:r>
            <w:r>
              <w:rPr>
                <w:rFonts w:cs="宋体" w:asciiTheme="minorEastAsia" w:hAnsiTheme="minorEastAsia" w:eastAsiaTheme="minorEastAsia"/>
                <w:bCs/>
                <w:szCs w:val="21"/>
              </w:rPr>
              <w:t>学年第</w:t>
            </w:r>
            <w:r>
              <w:rPr>
                <w:rFonts w:hint="eastAsia" w:cs="宋体" w:asciiTheme="minorEastAsia" w:hAnsiTheme="minorEastAsia" w:eastAsiaTheme="minorEastAsia"/>
                <w:bCs/>
                <w:szCs w:val="21"/>
              </w:rPr>
              <w:t>二</w:t>
            </w:r>
            <w:r>
              <w:rPr>
                <w:rFonts w:cs="宋体" w:asciiTheme="minorEastAsia" w:hAnsiTheme="minorEastAsia" w:eastAsiaTheme="minorEastAsia"/>
                <w:bCs/>
                <w:szCs w:val="21"/>
              </w:rPr>
              <w:t>学期</w:t>
            </w:r>
          </w:p>
        </w:tc>
        <w:tc>
          <w:tcPr>
            <w:tcW w:w="1769" w:type="pct"/>
            <w:vAlign w:val="center"/>
          </w:tcPr>
          <w:p w14:paraId="3D19C27A">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学生在设计公司内全面参与项目，负责具体工作和实现项目目标</w:t>
            </w:r>
          </w:p>
        </w:tc>
      </w:tr>
    </w:tbl>
    <w:p w14:paraId="790E6BDA">
      <w:pPr>
        <w:ind w:firstLine="480"/>
        <w:rPr>
          <w:rFonts w:ascii="宋体" w:hAnsi="宋体" w:cs="宋体"/>
          <w:kern w:val="0"/>
        </w:rPr>
      </w:pPr>
    </w:p>
    <w:p w14:paraId="5E4B16A2">
      <w:pPr>
        <w:pStyle w:val="3"/>
        <w:ind w:firstLine="422"/>
      </w:pPr>
      <w:bookmarkStart w:id="38" w:name="_Toc213423792"/>
      <w:bookmarkStart w:id="39" w:name="_Toc212238056"/>
      <w:r>
        <w:rPr>
          <w:rFonts w:hint="eastAsia"/>
        </w:rPr>
        <w:t>（二）学时安排</w:t>
      </w:r>
      <w:bookmarkEnd w:id="38"/>
    </w:p>
    <w:bookmarkEnd w:id="39"/>
    <w:p w14:paraId="2015D551">
      <w:pPr>
        <w:ind w:firstLine="480"/>
      </w:pPr>
      <w:r>
        <w:rPr>
          <w:rFonts w:hint="eastAsia"/>
        </w:rPr>
        <w:t>每学年为52周，其中教学时间40周(含复习考试)，累计假期12周，周学时为30学时，3年总学时数为3</w:t>
      </w:r>
      <w:r>
        <w:t>684</w:t>
      </w:r>
      <w:r>
        <w:rPr>
          <w:rFonts w:hint="eastAsia"/>
        </w:rPr>
        <w:t>。按照学分制原则，一般16-18学时为1学分，3学年总学分2</w:t>
      </w:r>
      <w:r>
        <w:t>10</w:t>
      </w:r>
      <w:r>
        <w:rPr>
          <w:rFonts w:hint="eastAsia"/>
        </w:rPr>
        <w:t>分。军训、劳动教育、入学教育等活动以1周为1学分，共</w:t>
      </w:r>
      <w:r>
        <w:t>4</w:t>
      </w:r>
      <w:r>
        <w:rPr>
          <w:rFonts w:hint="eastAsia"/>
        </w:rPr>
        <w:t>学分。实习实训环节共计4</w:t>
      </w:r>
      <w:r>
        <w:t>0</w:t>
      </w:r>
      <w:r>
        <w:rPr>
          <w:rFonts w:hint="eastAsia"/>
        </w:rPr>
        <w:t>学分。</w:t>
      </w:r>
    </w:p>
    <w:p w14:paraId="205B4F99">
      <w:pPr>
        <w:ind w:firstLine="480"/>
      </w:pPr>
      <w:r>
        <w:rPr>
          <w:rFonts w:hint="eastAsia"/>
        </w:rPr>
        <w:t>公共基础课学时约占总学时的</w:t>
      </w:r>
      <w:r>
        <w:t>39.05%</w:t>
      </w:r>
      <w:r>
        <w:rPr>
          <w:rFonts w:hint="eastAsia"/>
        </w:rPr>
        <w:t>，专业（技能）课学时约占总学时的</w:t>
      </w:r>
      <w:r>
        <w:t>41.9%</w:t>
      </w:r>
      <w:r>
        <w:rPr>
          <w:rFonts w:hint="eastAsia"/>
        </w:rPr>
        <w:t>，实习实训学时约占总学时的</w:t>
      </w:r>
      <w:r>
        <w:t>19.05%</w:t>
      </w:r>
      <w:r>
        <w:rPr>
          <w:rFonts w:hint="eastAsia"/>
        </w:rPr>
        <w:t>，选修课占总学时的</w:t>
      </w:r>
      <w:r>
        <w:t>9.53%</w:t>
      </w:r>
      <w:r>
        <w:rPr>
          <w:rFonts w:hint="eastAsia"/>
        </w:rPr>
        <w:t>，在确保学生实习总量的前提下，可根据实际需要集中或分阶段安排实习时间，行业企业顶岗实习应安排在第三学年。</w:t>
      </w:r>
    </w:p>
    <w:p w14:paraId="0555FF9D">
      <w:pPr>
        <w:widowControl/>
        <w:adjustRightInd/>
        <w:snapToGrid/>
        <w:spacing w:line="240" w:lineRule="auto"/>
        <w:ind w:firstLine="0" w:firstLineChars="0"/>
        <w:jc w:val="left"/>
        <w:rPr>
          <w:rFonts w:eastAsia="黑体"/>
          <w:bCs/>
          <w:szCs w:val="32"/>
          <w:lang w:val="zh-CN"/>
        </w:rPr>
      </w:pPr>
      <w:bookmarkStart w:id="40" w:name="_Toc212238058"/>
      <w:r>
        <w:br w:type="page"/>
      </w:r>
    </w:p>
    <w:p w14:paraId="73406D37">
      <w:pPr>
        <w:pStyle w:val="4"/>
        <w:numPr>
          <w:ilvl w:val="0"/>
          <w:numId w:val="3"/>
        </w:numPr>
      </w:pPr>
      <w:r>
        <w:rPr>
          <w:rFonts w:hint="eastAsia"/>
          <w:lang w:val="en-US"/>
        </w:rPr>
        <w:drawing>
          <wp:anchor distT="0" distB="0" distL="114300" distR="114300" simplePos="0" relativeHeight="251659264" behindDoc="0" locked="0" layoutInCell="1" allowOverlap="1">
            <wp:simplePos x="0" y="0"/>
            <wp:positionH relativeFrom="column">
              <wp:posOffset>-47625</wp:posOffset>
            </wp:positionH>
            <wp:positionV relativeFrom="paragraph">
              <wp:posOffset>439420</wp:posOffset>
            </wp:positionV>
            <wp:extent cx="5400040" cy="8065135"/>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00040" cy="8065135"/>
                    </a:xfrm>
                    <a:prstGeom prst="rect">
                      <a:avLst/>
                    </a:prstGeom>
                    <a:noFill/>
                    <a:ln>
                      <a:noFill/>
                    </a:ln>
                  </pic:spPr>
                </pic:pic>
              </a:graphicData>
            </a:graphic>
          </wp:anchor>
        </w:drawing>
      </w:r>
      <w:r>
        <w:rPr>
          <w:rFonts w:hint="eastAsia"/>
        </w:rPr>
        <w:t>教学计划安排表</w:t>
      </w:r>
      <w:bookmarkEnd w:id="40"/>
      <w:bookmarkStart w:id="41" w:name="_Hlk212157994"/>
      <w:r>
        <w:br w:type="page"/>
      </w:r>
    </w:p>
    <w:p w14:paraId="2804A1F9">
      <w:pPr>
        <w:widowControl/>
        <w:adjustRightInd/>
        <w:snapToGrid/>
        <w:spacing w:line="240" w:lineRule="auto"/>
        <w:ind w:firstLine="0" w:firstLineChars="0"/>
        <w:jc w:val="left"/>
      </w:pPr>
    </w:p>
    <w:tbl>
      <w:tblPr>
        <w:tblStyle w:val="41"/>
        <w:tblpPr w:leftFromText="180" w:rightFromText="180" w:vertAnchor="page" w:horzAnchor="margin" w:tblpY="2226"/>
        <w:tblW w:w="4907" w:type="pct"/>
        <w:tblInd w:w="0" w:type="dxa"/>
        <w:tblLayout w:type="autofit"/>
        <w:tblCellMar>
          <w:top w:w="0" w:type="dxa"/>
          <w:left w:w="108" w:type="dxa"/>
          <w:bottom w:w="0" w:type="dxa"/>
          <w:right w:w="108" w:type="dxa"/>
        </w:tblCellMar>
      </w:tblPr>
      <w:tblGrid>
        <w:gridCol w:w="562"/>
        <w:gridCol w:w="1601"/>
        <w:gridCol w:w="908"/>
        <w:gridCol w:w="908"/>
        <w:gridCol w:w="908"/>
        <w:gridCol w:w="908"/>
        <w:gridCol w:w="909"/>
        <w:gridCol w:w="909"/>
        <w:gridCol w:w="909"/>
      </w:tblGrid>
      <w:tr w14:paraId="244D7C66">
        <w:tblPrEx>
          <w:tblCellMar>
            <w:top w:w="0" w:type="dxa"/>
            <w:left w:w="108" w:type="dxa"/>
            <w:bottom w:w="0" w:type="dxa"/>
            <w:right w:w="108" w:type="dxa"/>
          </w:tblCellMar>
        </w:tblPrEx>
        <w:trPr>
          <w:trHeight w:val="573" w:hRule="atLeast"/>
        </w:trPr>
        <w:tc>
          <w:tcPr>
            <w:tcW w:w="322"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24E93B25">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学期</w:t>
            </w:r>
          </w:p>
        </w:tc>
        <w:tc>
          <w:tcPr>
            <w:tcW w:w="992"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63F3D807">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入学教育毕业教育</w:t>
            </w:r>
          </w:p>
        </w:tc>
        <w:tc>
          <w:tcPr>
            <w:tcW w:w="561"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191B77B5">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课程教学</w:t>
            </w:r>
          </w:p>
        </w:tc>
        <w:tc>
          <w:tcPr>
            <w:tcW w:w="561"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6D433BC2">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教学实践</w:t>
            </w:r>
          </w:p>
        </w:tc>
        <w:tc>
          <w:tcPr>
            <w:tcW w:w="513"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58A3266D">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劳动教育</w:t>
            </w:r>
          </w:p>
        </w:tc>
        <w:tc>
          <w:tcPr>
            <w:tcW w:w="513"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2EDC6220">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校内实训</w:t>
            </w:r>
          </w:p>
        </w:tc>
        <w:tc>
          <w:tcPr>
            <w:tcW w:w="513"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5A7D6ABC">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岗位实习</w:t>
            </w:r>
          </w:p>
        </w:tc>
        <w:tc>
          <w:tcPr>
            <w:tcW w:w="513"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61476675">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复习考试</w:t>
            </w:r>
          </w:p>
        </w:tc>
        <w:tc>
          <w:tcPr>
            <w:tcW w:w="513"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5BDAE0A6">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合计周数</w:t>
            </w:r>
          </w:p>
        </w:tc>
      </w:tr>
      <w:tr w14:paraId="1AAEA559">
        <w:tblPrEx>
          <w:tblCellMar>
            <w:top w:w="0" w:type="dxa"/>
            <w:left w:w="108" w:type="dxa"/>
            <w:bottom w:w="0" w:type="dxa"/>
            <w:right w:w="108" w:type="dxa"/>
          </w:tblCellMar>
        </w:tblPrEx>
        <w:trPr>
          <w:trHeight w:val="573" w:hRule="atLeast"/>
        </w:trPr>
        <w:tc>
          <w:tcPr>
            <w:tcW w:w="322" w:type="pct"/>
            <w:tcBorders>
              <w:top w:val="single" w:color="auto" w:sz="4" w:space="0"/>
              <w:left w:val="single" w:color="auto" w:sz="4" w:space="0"/>
              <w:bottom w:val="single" w:color="auto" w:sz="4" w:space="0"/>
              <w:right w:val="single" w:color="auto" w:sz="4" w:space="0"/>
            </w:tcBorders>
            <w:noWrap/>
            <w:vAlign w:val="center"/>
          </w:tcPr>
          <w:p w14:paraId="34E9A99F">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一</w:t>
            </w:r>
          </w:p>
        </w:tc>
        <w:tc>
          <w:tcPr>
            <w:tcW w:w="992" w:type="pct"/>
            <w:tcBorders>
              <w:top w:val="single" w:color="auto" w:sz="4" w:space="0"/>
              <w:left w:val="single" w:color="auto" w:sz="4" w:space="0"/>
              <w:bottom w:val="single" w:color="auto" w:sz="4" w:space="0"/>
              <w:right w:val="single" w:color="auto" w:sz="4" w:space="0"/>
            </w:tcBorders>
            <w:noWrap/>
            <w:vAlign w:val="center"/>
          </w:tcPr>
          <w:p w14:paraId="48C1E1A1">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61" w:type="pct"/>
            <w:tcBorders>
              <w:top w:val="single" w:color="auto" w:sz="4" w:space="0"/>
              <w:left w:val="single" w:color="auto" w:sz="4" w:space="0"/>
              <w:bottom w:val="single" w:color="auto" w:sz="4" w:space="0"/>
              <w:right w:val="single" w:color="auto" w:sz="4" w:space="0"/>
            </w:tcBorders>
            <w:noWrap/>
            <w:vAlign w:val="center"/>
          </w:tcPr>
          <w:p w14:paraId="4AEC7D14">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561" w:type="pct"/>
            <w:tcBorders>
              <w:top w:val="single" w:color="auto" w:sz="4" w:space="0"/>
              <w:left w:val="single" w:color="auto" w:sz="4" w:space="0"/>
              <w:bottom w:val="single" w:color="auto" w:sz="4" w:space="0"/>
              <w:right w:val="single" w:color="auto" w:sz="4" w:space="0"/>
            </w:tcBorders>
            <w:noWrap/>
            <w:vAlign w:val="center"/>
          </w:tcPr>
          <w:p w14:paraId="36769BFD">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575C7F18">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75E98FBF">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78483C31">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1B7D5C1C">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13" w:type="pct"/>
            <w:tcBorders>
              <w:top w:val="single" w:color="auto" w:sz="4" w:space="0"/>
              <w:left w:val="single" w:color="auto" w:sz="4" w:space="0"/>
              <w:bottom w:val="single" w:color="auto" w:sz="4" w:space="0"/>
              <w:right w:val="single" w:color="auto" w:sz="4" w:space="0"/>
            </w:tcBorders>
            <w:noWrap/>
            <w:vAlign w:val="center"/>
          </w:tcPr>
          <w:p w14:paraId="1D4D3CBE">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20</w:t>
            </w:r>
          </w:p>
        </w:tc>
      </w:tr>
      <w:tr w14:paraId="2266095A">
        <w:tblPrEx>
          <w:tblCellMar>
            <w:top w:w="0" w:type="dxa"/>
            <w:left w:w="108" w:type="dxa"/>
            <w:bottom w:w="0" w:type="dxa"/>
            <w:right w:w="108" w:type="dxa"/>
          </w:tblCellMar>
        </w:tblPrEx>
        <w:trPr>
          <w:trHeight w:val="573" w:hRule="atLeast"/>
        </w:trPr>
        <w:tc>
          <w:tcPr>
            <w:tcW w:w="322" w:type="pct"/>
            <w:tcBorders>
              <w:top w:val="single" w:color="auto" w:sz="4" w:space="0"/>
              <w:left w:val="single" w:color="auto" w:sz="4" w:space="0"/>
              <w:bottom w:val="single" w:color="auto" w:sz="4" w:space="0"/>
              <w:right w:val="single" w:color="auto" w:sz="4" w:space="0"/>
            </w:tcBorders>
            <w:noWrap/>
            <w:vAlign w:val="center"/>
          </w:tcPr>
          <w:p w14:paraId="2EF383AD">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二</w:t>
            </w:r>
          </w:p>
        </w:tc>
        <w:tc>
          <w:tcPr>
            <w:tcW w:w="992" w:type="pct"/>
            <w:tcBorders>
              <w:top w:val="single" w:color="auto" w:sz="4" w:space="0"/>
              <w:left w:val="single" w:color="auto" w:sz="4" w:space="0"/>
              <w:bottom w:val="single" w:color="auto" w:sz="4" w:space="0"/>
              <w:right w:val="single" w:color="auto" w:sz="4" w:space="0"/>
            </w:tcBorders>
            <w:noWrap/>
            <w:vAlign w:val="center"/>
          </w:tcPr>
          <w:p w14:paraId="30ED7306">
            <w:pPr>
              <w:overflowPunct w:val="0"/>
              <w:spacing w:line="240" w:lineRule="auto"/>
              <w:ind w:firstLine="0" w:firstLineChars="0"/>
              <w:jc w:val="center"/>
              <w:rPr>
                <w:rFonts w:cs="宋体" w:asciiTheme="minorEastAsia" w:hAnsiTheme="minorEastAsia" w:eastAsiaTheme="minorEastAsia"/>
                <w:bCs/>
                <w:szCs w:val="21"/>
              </w:rPr>
            </w:pPr>
          </w:p>
        </w:tc>
        <w:tc>
          <w:tcPr>
            <w:tcW w:w="561" w:type="pct"/>
            <w:tcBorders>
              <w:top w:val="single" w:color="auto" w:sz="4" w:space="0"/>
              <w:left w:val="single" w:color="auto" w:sz="4" w:space="0"/>
              <w:bottom w:val="single" w:color="auto" w:sz="4" w:space="0"/>
              <w:right w:val="single" w:color="auto" w:sz="4" w:space="0"/>
            </w:tcBorders>
            <w:noWrap/>
            <w:vAlign w:val="center"/>
          </w:tcPr>
          <w:p w14:paraId="4CB12D26">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561" w:type="pct"/>
            <w:tcBorders>
              <w:top w:val="single" w:color="auto" w:sz="4" w:space="0"/>
              <w:left w:val="single" w:color="auto" w:sz="4" w:space="0"/>
              <w:bottom w:val="single" w:color="auto" w:sz="4" w:space="0"/>
              <w:right w:val="single" w:color="auto" w:sz="4" w:space="0"/>
            </w:tcBorders>
            <w:noWrap/>
            <w:vAlign w:val="center"/>
          </w:tcPr>
          <w:p w14:paraId="3633ECBA">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13" w:type="pct"/>
            <w:tcBorders>
              <w:top w:val="single" w:color="auto" w:sz="4" w:space="0"/>
              <w:left w:val="single" w:color="auto" w:sz="4" w:space="0"/>
              <w:bottom w:val="single" w:color="auto" w:sz="4" w:space="0"/>
              <w:right w:val="single" w:color="auto" w:sz="4" w:space="0"/>
            </w:tcBorders>
            <w:noWrap/>
            <w:vAlign w:val="center"/>
          </w:tcPr>
          <w:p w14:paraId="1827F545">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13" w:type="pct"/>
            <w:tcBorders>
              <w:top w:val="single" w:color="auto" w:sz="4" w:space="0"/>
              <w:left w:val="single" w:color="auto" w:sz="4" w:space="0"/>
              <w:bottom w:val="single" w:color="auto" w:sz="4" w:space="0"/>
              <w:right w:val="single" w:color="auto" w:sz="4" w:space="0"/>
            </w:tcBorders>
            <w:noWrap/>
            <w:vAlign w:val="center"/>
          </w:tcPr>
          <w:p w14:paraId="2D709947">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675FDCF9">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62D7FD3F">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13" w:type="pct"/>
            <w:tcBorders>
              <w:top w:val="single" w:color="auto" w:sz="4" w:space="0"/>
              <w:left w:val="single" w:color="auto" w:sz="4" w:space="0"/>
              <w:bottom w:val="single" w:color="auto" w:sz="4" w:space="0"/>
              <w:right w:val="single" w:color="auto" w:sz="4" w:space="0"/>
            </w:tcBorders>
            <w:noWrap/>
            <w:vAlign w:val="center"/>
          </w:tcPr>
          <w:p w14:paraId="2C416558">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20</w:t>
            </w:r>
          </w:p>
        </w:tc>
      </w:tr>
      <w:tr w14:paraId="215BDE21">
        <w:tblPrEx>
          <w:tblCellMar>
            <w:top w:w="0" w:type="dxa"/>
            <w:left w:w="108" w:type="dxa"/>
            <w:bottom w:w="0" w:type="dxa"/>
            <w:right w:w="108" w:type="dxa"/>
          </w:tblCellMar>
        </w:tblPrEx>
        <w:trPr>
          <w:trHeight w:val="573" w:hRule="atLeast"/>
        </w:trPr>
        <w:tc>
          <w:tcPr>
            <w:tcW w:w="322" w:type="pct"/>
            <w:tcBorders>
              <w:top w:val="single" w:color="auto" w:sz="4" w:space="0"/>
              <w:left w:val="single" w:color="auto" w:sz="4" w:space="0"/>
              <w:bottom w:val="single" w:color="auto" w:sz="4" w:space="0"/>
              <w:right w:val="single" w:color="auto" w:sz="4" w:space="0"/>
            </w:tcBorders>
            <w:noWrap/>
            <w:vAlign w:val="center"/>
          </w:tcPr>
          <w:p w14:paraId="0DA880A7">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三</w:t>
            </w:r>
          </w:p>
        </w:tc>
        <w:tc>
          <w:tcPr>
            <w:tcW w:w="992" w:type="pct"/>
            <w:tcBorders>
              <w:top w:val="single" w:color="auto" w:sz="4" w:space="0"/>
              <w:left w:val="single" w:color="auto" w:sz="4" w:space="0"/>
              <w:bottom w:val="single" w:color="auto" w:sz="4" w:space="0"/>
              <w:right w:val="single" w:color="auto" w:sz="4" w:space="0"/>
            </w:tcBorders>
            <w:noWrap/>
            <w:vAlign w:val="center"/>
          </w:tcPr>
          <w:p w14:paraId="448DEDC8">
            <w:pPr>
              <w:overflowPunct w:val="0"/>
              <w:spacing w:line="240" w:lineRule="auto"/>
              <w:ind w:firstLine="0" w:firstLineChars="0"/>
              <w:jc w:val="center"/>
              <w:rPr>
                <w:rFonts w:cs="宋体" w:asciiTheme="minorEastAsia" w:hAnsiTheme="minorEastAsia" w:eastAsiaTheme="minorEastAsia"/>
                <w:bCs/>
                <w:szCs w:val="21"/>
              </w:rPr>
            </w:pPr>
          </w:p>
        </w:tc>
        <w:tc>
          <w:tcPr>
            <w:tcW w:w="561" w:type="pct"/>
            <w:tcBorders>
              <w:top w:val="single" w:color="auto" w:sz="4" w:space="0"/>
              <w:left w:val="single" w:color="auto" w:sz="4" w:space="0"/>
              <w:bottom w:val="single" w:color="auto" w:sz="4" w:space="0"/>
              <w:right w:val="single" w:color="auto" w:sz="4" w:space="0"/>
            </w:tcBorders>
            <w:noWrap/>
            <w:vAlign w:val="center"/>
          </w:tcPr>
          <w:p w14:paraId="2631FC28">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561" w:type="pct"/>
            <w:tcBorders>
              <w:top w:val="single" w:color="auto" w:sz="4" w:space="0"/>
              <w:left w:val="single" w:color="auto" w:sz="4" w:space="0"/>
              <w:bottom w:val="single" w:color="auto" w:sz="4" w:space="0"/>
              <w:right w:val="single" w:color="auto" w:sz="4" w:space="0"/>
            </w:tcBorders>
            <w:noWrap/>
            <w:vAlign w:val="center"/>
          </w:tcPr>
          <w:p w14:paraId="1F4145AF">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13" w:type="pct"/>
            <w:tcBorders>
              <w:top w:val="single" w:color="auto" w:sz="4" w:space="0"/>
              <w:left w:val="single" w:color="auto" w:sz="4" w:space="0"/>
              <w:bottom w:val="single" w:color="auto" w:sz="4" w:space="0"/>
              <w:right w:val="single" w:color="auto" w:sz="4" w:space="0"/>
            </w:tcBorders>
            <w:noWrap/>
            <w:vAlign w:val="center"/>
          </w:tcPr>
          <w:p w14:paraId="24A47739">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02E25BC9">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6C34BD48">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18259833">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13" w:type="pct"/>
            <w:tcBorders>
              <w:top w:val="single" w:color="auto" w:sz="4" w:space="0"/>
              <w:left w:val="single" w:color="auto" w:sz="4" w:space="0"/>
              <w:bottom w:val="single" w:color="auto" w:sz="4" w:space="0"/>
              <w:right w:val="single" w:color="auto" w:sz="4" w:space="0"/>
            </w:tcBorders>
            <w:noWrap/>
            <w:vAlign w:val="center"/>
          </w:tcPr>
          <w:p w14:paraId="4F5416AA">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20</w:t>
            </w:r>
          </w:p>
        </w:tc>
      </w:tr>
      <w:tr w14:paraId="4CE22C0D">
        <w:tblPrEx>
          <w:tblCellMar>
            <w:top w:w="0" w:type="dxa"/>
            <w:left w:w="108" w:type="dxa"/>
            <w:bottom w:w="0" w:type="dxa"/>
            <w:right w:w="108" w:type="dxa"/>
          </w:tblCellMar>
        </w:tblPrEx>
        <w:trPr>
          <w:trHeight w:val="573" w:hRule="atLeast"/>
        </w:trPr>
        <w:tc>
          <w:tcPr>
            <w:tcW w:w="322" w:type="pct"/>
            <w:tcBorders>
              <w:top w:val="single" w:color="auto" w:sz="4" w:space="0"/>
              <w:left w:val="single" w:color="auto" w:sz="4" w:space="0"/>
              <w:bottom w:val="single" w:color="auto" w:sz="4" w:space="0"/>
              <w:right w:val="single" w:color="auto" w:sz="4" w:space="0"/>
            </w:tcBorders>
            <w:noWrap/>
            <w:vAlign w:val="center"/>
          </w:tcPr>
          <w:p w14:paraId="07E25B6E">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四</w:t>
            </w:r>
          </w:p>
        </w:tc>
        <w:tc>
          <w:tcPr>
            <w:tcW w:w="992" w:type="pct"/>
            <w:tcBorders>
              <w:top w:val="single" w:color="auto" w:sz="4" w:space="0"/>
              <w:left w:val="single" w:color="auto" w:sz="4" w:space="0"/>
              <w:bottom w:val="single" w:color="auto" w:sz="4" w:space="0"/>
              <w:right w:val="single" w:color="auto" w:sz="4" w:space="0"/>
            </w:tcBorders>
            <w:noWrap/>
            <w:vAlign w:val="center"/>
          </w:tcPr>
          <w:p w14:paraId="449DBFDC">
            <w:pPr>
              <w:overflowPunct w:val="0"/>
              <w:spacing w:line="240" w:lineRule="auto"/>
              <w:ind w:firstLine="0" w:firstLineChars="0"/>
              <w:jc w:val="center"/>
              <w:rPr>
                <w:rFonts w:cs="宋体" w:asciiTheme="minorEastAsia" w:hAnsiTheme="minorEastAsia" w:eastAsiaTheme="minorEastAsia"/>
                <w:bCs/>
                <w:szCs w:val="21"/>
              </w:rPr>
            </w:pPr>
          </w:p>
        </w:tc>
        <w:tc>
          <w:tcPr>
            <w:tcW w:w="561" w:type="pct"/>
            <w:tcBorders>
              <w:top w:val="single" w:color="auto" w:sz="4" w:space="0"/>
              <w:left w:val="single" w:color="auto" w:sz="4" w:space="0"/>
              <w:bottom w:val="single" w:color="auto" w:sz="4" w:space="0"/>
              <w:right w:val="single" w:color="auto" w:sz="4" w:space="0"/>
            </w:tcBorders>
            <w:noWrap/>
            <w:vAlign w:val="center"/>
          </w:tcPr>
          <w:p w14:paraId="16A84C1C">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561" w:type="pct"/>
            <w:tcBorders>
              <w:top w:val="single" w:color="auto" w:sz="4" w:space="0"/>
              <w:left w:val="single" w:color="auto" w:sz="4" w:space="0"/>
              <w:bottom w:val="single" w:color="auto" w:sz="4" w:space="0"/>
              <w:right w:val="single" w:color="auto" w:sz="4" w:space="0"/>
            </w:tcBorders>
            <w:noWrap/>
            <w:vAlign w:val="center"/>
          </w:tcPr>
          <w:p w14:paraId="6A8DF1C5">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73114512">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4AFD70FD">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13" w:type="pct"/>
            <w:tcBorders>
              <w:top w:val="single" w:color="auto" w:sz="4" w:space="0"/>
              <w:left w:val="single" w:color="auto" w:sz="4" w:space="0"/>
              <w:bottom w:val="single" w:color="auto" w:sz="4" w:space="0"/>
              <w:right w:val="single" w:color="auto" w:sz="4" w:space="0"/>
            </w:tcBorders>
            <w:noWrap/>
            <w:vAlign w:val="center"/>
          </w:tcPr>
          <w:p w14:paraId="64C62E6E">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21DEF287">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13" w:type="pct"/>
            <w:tcBorders>
              <w:top w:val="single" w:color="auto" w:sz="4" w:space="0"/>
              <w:left w:val="single" w:color="auto" w:sz="4" w:space="0"/>
              <w:bottom w:val="single" w:color="auto" w:sz="4" w:space="0"/>
              <w:right w:val="single" w:color="auto" w:sz="4" w:space="0"/>
            </w:tcBorders>
            <w:noWrap/>
            <w:vAlign w:val="center"/>
          </w:tcPr>
          <w:p w14:paraId="6830B9B5">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20</w:t>
            </w:r>
          </w:p>
        </w:tc>
      </w:tr>
      <w:tr w14:paraId="4BED22B6">
        <w:tblPrEx>
          <w:tblCellMar>
            <w:top w:w="0" w:type="dxa"/>
            <w:left w:w="108" w:type="dxa"/>
            <w:bottom w:w="0" w:type="dxa"/>
            <w:right w:w="108" w:type="dxa"/>
          </w:tblCellMar>
        </w:tblPrEx>
        <w:trPr>
          <w:trHeight w:val="573" w:hRule="atLeast"/>
        </w:trPr>
        <w:tc>
          <w:tcPr>
            <w:tcW w:w="322" w:type="pct"/>
            <w:tcBorders>
              <w:top w:val="single" w:color="auto" w:sz="4" w:space="0"/>
              <w:left w:val="single" w:color="auto" w:sz="4" w:space="0"/>
              <w:bottom w:val="single" w:color="auto" w:sz="4" w:space="0"/>
              <w:right w:val="single" w:color="auto" w:sz="4" w:space="0"/>
            </w:tcBorders>
            <w:noWrap/>
            <w:vAlign w:val="center"/>
          </w:tcPr>
          <w:p w14:paraId="382E73EF">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五</w:t>
            </w:r>
          </w:p>
        </w:tc>
        <w:tc>
          <w:tcPr>
            <w:tcW w:w="992" w:type="pct"/>
            <w:tcBorders>
              <w:top w:val="single" w:color="auto" w:sz="4" w:space="0"/>
              <w:left w:val="single" w:color="auto" w:sz="4" w:space="0"/>
              <w:bottom w:val="single" w:color="auto" w:sz="4" w:space="0"/>
              <w:right w:val="single" w:color="auto" w:sz="4" w:space="0"/>
            </w:tcBorders>
            <w:noWrap/>
            <w:vAlign w:val="center"/>
          </w:tcPr>
          <w:p w14:paraId="756A7BD1">
            <w:pPr>
              <w:overflowPunct w:val="0"/>
              <w:spacing w:line="240" w:lineRule="auto"/>
              <w:ind w:firstLine="0" w:firstLineChars="0"/>
              <w:jc w:val="center"/>
              <w:rPr>
                <w:rFonts w:cs="宋体" w:asciiTheme="minorEastAsia" w:hAnsiTheme="minorEastAsia" w:eastAsiaTheme="minorEastAsia"/>
                <w:bCs/>
                <w:szCs w:val="21"/>
              </w:rPr>
            </w:pPr>
          </w:p>
        </w:tc>
        <w:tc>
          <w:tcPr>
            <w:tcW w:w="561" w:type="pct"/>
            <w:tcBorders>
              <w:top w:val="single" w:color="auto" w:sz="4" w:space="0"/>
              <w:left w:val="single" w:color="auto" w:sz="4" w:space="0"/>
              <w:bottom w:val="single" w:color="auto" w:sz="4" w:space="0"/>
              <w:right w:val="single" w:color="auto" w:sz="4" w:space="0"/>
            </w:tcBorders>
            <w:noWrap/>
            <w:vAlign w:val="center"/>
          </w:tcPr>
          <w:p w14:paraId="3ABEB24C">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561" w:type="pct"/>
            <w:tcBorders>
              <w:top w:val="single" w:color="auto" w:sz="4" w:space="0"/>
              <w:left w:val="single" w:color="auto" w:sz="4" w:space="0"/>
              <w:bottom w:val="single" w:color="auto" w:sz="4" w:space="0"/>
              <w:right w:val="single" w:color="auto" w:sz="4" w:space="0"/>
            </w:tcBorders>
            <w:noWrap/>
            <w:vAlign w:val="center"/>
          </w:tcPr>
          <w:p w14:paraId="39FC91DD">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4F79352F">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77BFE659">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13" w:type="pct"/>
            <w:tcBorders>
              <w:top w:val="single" w:color="auto" w:sz="4" w:space="0"/>
              <w:left w:val="single" w:color="auto" w:sz="4" w:space="0"/>
              <w:bottom w:val="single" w:color="auto" w:sz="4" w:space="0"/>
              <w:right w:val="single" w:color="auto" w:sz="4" w:space="0"/>
            </w:tcBorders>
            <w:noWrap/>
            <w:vAlign w:val="center"/>
          </w:tcPr>
          <w:p w14:paraId="5127D2ED">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4E7CBB46">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13" w:type="pct"/>
            <w:tcBorders>
              <w:top w:val="single" w:color="auto" w:sz="4" w:space="0"/>
              <w:left w:val="single" w:color="auto" w:sz="4" w:space="0"/>
              <w:bottom w:val="single" w:color="auto" w:sz="4" w:space="0"/>
              <w:right w:val="single" w:color="auto" w:sz="4" w:space="0"/>
            </w:tcBorders>
            <w:noWrap/>
            <w:vAlign w:val="center"/>
          </w:tcPr>
          <w:p w14:paraId="6BD35661">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20</w:t>
            </w:r>
          </w:p>
        </w:tc>
      </w:tr>
      <w:tr w14:paraId="6BC20DA2">
        <w:tblPrEx>
          <w:tblCellMar>
            <w:top w:w="0" w:type="dxa"/>
            <w:left w:w="108" w:type="dxa"/>
            <w:bottom w:w="0" w:type="dxa"/>
            <w:right w:w="108" w:type="dxa"/>
          </w:tblCellMar>
        </w:tblPrEx>
        <w:trPr>
          <w:trHeight w:val="573" w:hRule="atLeast"/>
        </w:trPr>
        <w:tc>
          <w:tcPr>
            <w:tcW w:w="322" w:type="pct"/>
            <w:tcBorders>
              <w:top w:val="single" w:color="auto" w:sz="4" w:space="0"/>
              <w:left w:val="single" w:color="auto" w:sz="4" w:space="0"/>
              <w:bottom w:val="single" w:color="auto" w:sz="4" w:space="0"/>
              <w:right w:val="single" w:color="auto" w:sz="4" w:space="0"/>
            </w:tcBorders>
            <w:noWrap/>
            <w:vAlign w:val="center"/>
          </w:tcPr>
          <w:p w14:paraId="63483524">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六</w:t>
            </w:r>
          </w:p>
        </w:tc>
        <w:tc>
          <w:tcPr>
            <w:tcW w:w="992" w:type="pct"/>
            <w:tcBorders>
              <w:top w:val="single" w:color="auto" w:sz="4" w:space="0"/>
              <w:left w:val="single" w:color="auto" w:sz="4" w:space="0"/>
              <w:bottom w:val="single" w:color="auto" w:sz="4" w:space="0"/>
              <w:right w:val="single" w:color="auto" w:sz="4" w:space="0"/>
            </w:tcBorders>
            <w:noWrap/>
            <w:vAlign w:val="center"/>
          </w:tcPr>
          <w:p w14:paraId="679D9C6C">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61" w:type="pct"/>
            <w:tcBorders>
              <w:top w:val="single" w:color="auto" w:sz="4" w:space="0"/>
              <w:left w:val="single" w:color="auto" w:sz="4" w:space="0"/>
              <w:bottom w:val="single" w:color="auto" w:sz="4" w:space="0"/>
              <w:right w:val="single" w:color="auto" w:sz="4" w:space="0"/>
            </w:tcBorders>
            <w:noWrap/>
            <w:vAlign w:val="center"/>
          </w:tcPr>
          <w:p w14:paraId="42625116">
            <w:pPr>
              <w:overflowPunct w:val="0"/>
              <w:spacing w:line="240" w:lineRule="auto"/>
              <w:ind w:firstLine="0" w:firstLineChars="0"/>
              <w:jc w:val="center"/>
              <w:rPr>
                <w:rFonts w:cs="宋体" w:asciiTheme="minorEastAsia" w:hAnsiTheme="minorEastAsia" w:eastAsiaTheme="minorEastAsia"/>
                <w:bCs/>
                <w:szCs w:val="21"/>
              </w:rPr>
            </w:pPr>
          </w:p>
        </w:tc>
        <w:tc>
          <w:tcPr>
            <w:tcW w:w="561" w:type="pct"/>
            <w:tcBorders>
              <w:top w:val="single" w:color="auto" w:sz="4" w:space="0"/>
              <w:left w:val="single" w:color="auto" w:sz="4" w:space="0"/>
              <w:bottom w:val="single" w:color="auto" w:sz="4" w:space="0"/>
              <w:right w:val="single" w:color="auto" w:sz="4" w:space="0"/>
            </w:tcBorders>
            <w:noWrap/>
            <w:vAlign w:val="center"/>
          </w:tcPr>
          <w:p w14:paraId="23713607">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11AAAD30">
            <w:pPr>
              <w:overflowPunct w:val="0"/>
              <w:spacing w:line="240" w:lineRule="auto"/>
              <w:ind w:firstLine="0" w:firstLineChars="0"/>
              <w:jc w:val="center"/>
              <w:rPr>
                <w:rFonts w:cs="宋体" w:asciiTheme="minorEastAsia" w:hAnsiTheme="minorEastAsia" w:eastAsiaTheme="minorEastAsia"/>
                <w:bCs/>
                <w:szCs w:val="21"/>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067D4A52">
            <w:pPr>
              <w:overflowPunct w:val="0"/>
              <w:spacing w:line="240" w:lineRule="auto"/>
              <w:ind w:firstLine="0" w:firstLineChars="0"/>
              <w:jc w:val="center"/>
              <w:rPr>
                <w:rFonts w:cs="宋体" w:asciiTheme="minorEastAsia" w:hAnsiTheme="minorEastAsia" w:eastAsiaTheme="minorEastAsia"/>
                <w:bCs/>
                <w:szCs w:val="21"/>
              </w:rPr>
            </w:pPr>
            <w:r>
              <w:rPr>
                <w:rFonts w:cs="宋体" w:asciiTheme="minorEastAsia" w:hAnsiTheme="minorEastAsia" w:eastAsiaTheme="minorEastAsia"/>
                <w:bCs/>
                <w:szCs w:val="21"/>
              </w:rPr>
              <w:t>6</w:t>
            </w:r>
          </w:p>
        </w:tc>
        <w:tc>
          <w:tcPr>
            <w:tcW w:w="513" w:type="pct"/>
            <w:tcBorders>
              <w:top w:val="single" w:color="auto" w:sz="4" w:space="0"/>
              <w:left w:val="single" w:color="auto" w:sz="4" w:space="0"/>
              <w:bottom w:val="single" w:color="auto" w:sz="4" w:space="0"/>
              <w:right w:val="single" w:color="auto" w:sz="4" w:space="0"/>
            </w:tcBorders>
            <w:noWrap/>
            <w:vAlign w:val="center"/>
          </w:tcPr>
          <w:p w14:paraId="23BA75AF">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513" w:type="pct"/>
            <w:tcBorders>
              <w:top w:val="single" w:color="auto" w:sz="4" w:space="0"/>
              <w:left w:val="single" w:color="auto" w:sz="4" w:space="0"/>
              <w:bottom w:val="single" w:color="auto" w:sz="4" w:space="0"/>
              <w:right w:val="single" w:color="auto" w:sz="4" w:space="0"/>
            </w:tcBorders>
            <w:noWrap/>
            <w:vAlign w:val="center"/>
          </w:tcPr>
          <w:p w14:paraId="598CE56E">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13" w:type="pct"/>
            <w:tcBorders>
              <w:top w:val="single" w:color="auto" w:sz="4" w:space="0"/>
              <w:left w:val="single" w:color="auto" w:sz="4" w:space="0"/>
              <w:bottom w:val="single" w:color="auto" w:sz="4" w:space="0"/>
              <w:right w:val="single" w:color="auto" w:sz="4" w:space="0"/>
            </w:tcBorders>
            <w:noWrap/>
            <w:vAlign w:val="center"/>
          </w:tcPr>
          <w:p w14:paraId="3E21DFD8">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20</w:t>
            </w:r>
          </w:p>
        </w:tc>
      </w:tr>
      <w:tr w14:paraId="493418CF">
        <w:tblPrEx>
          <w:tblCellMar>
            <w:top w:w="0" w:type="dxa"/>
            <w:left w:w="108" w:type="dxa"/>
            <w:bottom w:w="0" w:type="dxa"/>
            <w:right w:w="108" w:type="dxa"/>
          </w:tblCellMar>
        </w:tblPrEx>
        <w:trPr>
          <w:trHeight w:val="573" w:hRule="atLeast"/>
        </w:trPr>
        <w:tc>
          <w:tcPr>
            <w:tcW w:w="322"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10C26872">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合计</w:t>
            </w:r>
          </w:p>
        </w:tc>
        <w:tc>
          <w:tcPr>
            <w:tcW w:w="992"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132A71F6">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61"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354CFD54">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89</w:t>
            </w:r>
          </w:p>
        </w:tc>
        <w:tc>
          <w:tcPr>
            <w:tcW w:w="561"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09BB4C3D">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513"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570B825F">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13"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1FD470E6">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513"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251EEEA5">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513"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42851E12">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513"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6FE240F6">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120</w:t>
            </w:r>
          </w:p>
        </w:tc>
      </w:tr>
    </w:tbl>
    <w:p w14:paraId="375C55DE">
      <w:pPr>
        <w:widowControl/>
        <w:adjustRightInd/>
        <w:snapToGrid/>
        <w:spacing w:line="240" w:lineRule="auto"/>
        <w:ind w:firstLine="0" w:firstLineChars="0"/>
        <w:jc w:val="left"/>
      </w:pPr>
      <w:r>
        <w:rPr>
          <w:rFonts w:hint="eastAsia"/>
        </w:rPr>
        <w:t>2、教学时间分配表</w:t>
      </w:r>
    </w:p>
    <w:p w14:paraId="5208E03C">
      <w:pPr>
        <w:pStyle w:val="4"/>
        <w:ind w:firstLine="422"/>
      </w:pPr>
      <w:r>
        <w:rPr>
          <w:rFonts w:hint="eastAsia"/>
        </w:rPr>
        <w:t>3教学时间统计表</w:t>
      </w:r>
    </w:p>
    <w:bookmarkEnd w:id="41"/>
    <w:p w14:paraId="12D02DF8">
      <w:pPr>
        <w:ind w:firstLine="0" w:firstLineChars="0"/>
        <w:jc w:val="left"/>
        <w:rPr>
          <w:lang w:val="zh-CN"/>
        </w:rPr>
      </w:pPr>
    </w:p>
    <w:tbl>
      <w:tblPr>
        <w:tblStyle w:val="41"/>
        <w:tblpPr w:leftFromText="180" w:rightFromText="180" w:vertAnchor="page" w:horzAnchor="margin" w:tblpY="7500"/>
        <w:tblW w:w="4954" w:type="pct"/>
        <w:tblInd w:w="0" w:type="dxa"/>
        <w:tblLayout w:type="autofit"/>
        <w:tblCellMar>
          <w:top w:w="0" w:type="dxa"/>
          <w:left w:w="108" w:type="dxa"/>
          <w:bottom w:w="0" w:type="dxa"/>
          <w:right w:w="108" w:type="dxa"/>
        </w:tblCellMar>
      </w:tblPr>
      <w:tblGrid>
        <w:gridCol w:w="923"/>
        <w:gridCol w:w="727"/>
        <w:gridCol w:w="740"/>
        <w:gridCol w:w="745"/>
        <w:gridCol w:w="961"/>
        <w:gridCol w:w="963"/>
        <w:gridCol w:w="740"/>
        <w:gridCol w:w="745"/>
        <w:gridCol w:w="951"/>
        <w:gridCol w:w="949"/>
      </w:tblGrid>
      <w:tr w14:paraId="500CC967">
        <w:tblPrEx>
          <w:tblCellMar>
            <w:top w:w="0" w:type="dxa"/>
            <w:left w:w="108" w:type="dxa"/>
            <w:bottom w:w="0" w:type="dxa"/>
            <w:right w:w="108" w:type="dxa"/>
          </w:tblCellMar>
        </w:tblPrEx>
        <w:trPr>
          <w:trHeight w:val="1141" w:hRule="atLeast"/>
        </w:trPr>
        <w:tc>
          <w:tcPr>
            <w:tcW w:w="547" w:type="pct"/>
            <w:tcBorders>
              <w:top w:val="single" w:color="auto" w:sz="4" w:space="0"/>
              <w:left w:val="single" w:color="auto" w:sz="4" w:space="0"/>
              <w:bottom w:val="single" w:color="auto" w:sz="4" w:space="0"/>
              <w:right w:val="single" w:color="auto" w:sz="4" w:space="0"/>
            </w:tcBorders>
            <w:shd w:val="clear" w:color="auto" w:fill="5B9BD5"/>
            <w:vAlign w:val="center"/>
          </w:tcPr>
          <w:p w14:paraId="0877D563">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bookmarkStart w:id="42" w:name="_Toc77416440"/>
            <w:bookmarkStart w:id="43" w:name="_Toc212238059"/>
            <w:r>
              <w:rPr>
                <w:rFonts w:hint="eastAsia" w:cs="宋体" w:asciiTheme="majorEastAsia" w:hAnsiTheme="majorEastAsia" w:eastAsiaTheme="majorEastAsia"/>
                <w:b/>
                <w:color w:val="FFFFFF" w:themeColor="background1"/>
                <w:szCs w:val="21"/>
                <w14:textFill>
                  <w14:solidFill>
                    <w14:schemeClr w14:val="bg1"/>
                  </w14:solidFill>
                </w14:textFill>
              </w:rPr>
              <w:t>课程类型</w:t>
            </w:r>
          </w:p>
        </w:tc>
        <w:tc>
          <w:tcPr>
            <w:tcW w:w="431" w:type="pct"/>
            <w:tcBorders>
              <w:top w:val="single" w:color="auto" w:sz="4" w:space="0"/>
              <w:left w:val="nil"/>
              <w:bottom w:val="single" w:color="auto" w:sz="4" w:space="0"/>
              <w:right w:val="single" w:color="auto" w:sz="4" w:space="0"/>
            </w:tcBorders>
            <w:shd w:val="clear" w:color="auto" w:fill="5B9BD5"/>
            <w:vAlign w:val="center"/>
          </w:tcPr>
          <w:p w14:paraId="7015323C">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课程性质</w:t>
            </w:r>
          </w:p>
        </w:tc>
        <w:tc>
          <w:tcPr>
            <w:tcW w:w="879" w:type="pct"/>
            <w:gridSpan w:val="2"/>
            <w:tcBorders>
              <w:top w:val="single" w:color="auto" w:sz="4" w:space="0"/>
              <w:left w:val="nil"/>
              <w:bottom w:val="single" w:color="auto" w:sz="4" w:space="0"/>
              <w:right w:val="single" w:color="000000" w:sz="4" w:space="0"/>
            </w:tcBorders>
            <w:shd w:val="clear" w:color="auto" w:fill="5B9BD5"/>
            <w:vAlign w:val="center"/>
          </w:tcPr>
          <w:p w14:paraId="4F90E4D1">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学时</w:t>
            </w:r>
          </w:p>
        </w:tc>
        <w:tc>
          <w:tcPr>
            <w:tcW w:w="1139" w:type="pct"/>
            <w:gridSpan w:val="2"/>
            <w:tcBorders>
              <w:top w:val="single" w:color="auto" w:sz="4" w:space="0"/>
              <w:left w:val="nil"/>
              <w:bottom w:val="single" w:color="auto" w:sz="4" w:space="0"/>
              <w:right w:val="single" w:color="000000" w:sz="4" w:space="0"/>
            </w:tcBorders>
            <w:shd w:val="clear" w:color="auto" w:fill="5B9BD5"/>
            <w:vAlign w:val="center"/>
          </w:tcPr>
          <w:p w14:paraId="2E181421">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学时百分比</w:t>
            </w:r>
          </w:p>
        </w:tc>
        <w:tc>
          <w:tcPr>
            <w:tcW w:w="879" w:type="pct"/>
            <w:gridSpan w:val="2"/>
            <w:tcBorders>
              <w:top w:val="single" w:color="auto" w:sz="4" w:space="0"/>
              <w:left w:val="nil"/>
              <w:bottom w:val="single" w:color="auto" w:sz="4" w:space="0"/>
              <w:right w:val="single" w:color="000000" w:sz="4" w:space="0"/>
            </w:tcBorders>
            <w:shd w:val="clear" w:color="auto" w:fill="5B9BD5"/>
            <w:vAlign w:val="center"/>
          </w:tcPr>
          <w:p w14:paraId="191827C0">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学分</w:t>
            </w:r>
          </w:p>
        </w:tc>
        <w:tc>
          <w:tcPr>
            <w:tcW w:w="1125" w:type="pct"/>
            <w:gridSpan w:val="2"/>
            <w:tcBorders>
              <w:top w:val="single" w:color="auto" w:sz="4" w:space="0"/>
              <w:left w:val="nil"/>
              <w:bottom w:val="single" w:color="auto" w:sz="4" w:space="0"/>
              <w:right w:val="single" w:color="000000" w:sz="4" w:space="0"/>
            </w:tcBorders>
            <w:shd w:val="clear" w:color="auto" w:fill="5B9BD5"/>
            <w:vAlign w:val="center"/>
          </w:tcPr>
          <w:p w14:paraId="0E853A76">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学分百分比</w:t>
            </w:r>
          </w:p>
        </w:tc>
      </w:tr>
      <w:tr w14:paraId="1286BEEB">
        <w:tblPrEx>
          <w:tblCellMar>
            <w:top w:w="0" w:type="dxa"/>
            <w:left w:w="108" w:type="dxa"/>
            <w:bottom w:w="0" w:type="dxa"/>
            <w:right w:w="108" w:type="dxa"/>
          </w:tblCellMar>
        </w:tblPrEx>
        <w:trPr>
          <w:trHeight w:val="663" w:hRule="atLeast"/>
        </w:trPr>
        <w:tc>
          <w:tcPr>
            <w:tcW w:w="547" w:type="pct"/>
            <w:vMerge w:val="restart"/>
            <w:tcBorders>
              <w:top w:val="nil"/>
              <w:left w:val="single" w:color="auto" w:sz="4" w:space="0"/>
              <w:bottom w:val="single" w:color="000000" w:sz="4" w:space="0"/>
              <w:right w:val="single" w:color="auto" w:sz="4" w:space="0"/>
            </w:tcBorders>
            <w:vAlign w:val="center"/>
          </w:tcPr>
          <w:p w14:paraId="1CAAF958">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公共基础课</w:t>
            </w:r>
          </w:p>
        </w:tc>
        <w:tc>
          <w:tcPr>
            <w:tcW w:w="431" w:type="pct"/>
            <w:tcBorders>
              <w:top w:val="nil"/>
              <w:left w:val="nil"/>
              <w:bottom w:val="single" w:color="auto" w:sz="4" w:space="0"/>
              <w:right w:val="single" w:color="auto" w:sz="4" w:space="0"/>
            </w:tcBorders>
            <w:vAlign w:val="center"/>
          </w:tcPr>
          <w:p w14:paraId="7E338FE0">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必修</w:t>
            </w:r>
          </w:p>
        </w:tc>
        <w:tc>
          <w:tcPr>
            <w:tcW w:w="438" w:type="pct"/>
            <w:tcBorders>
              <w:top w:val="nil"/>
              <w:left w:val="nil"/>
              <w:bottom w:val="single" w:color="auto" w:sz="4" w:space="0"/>
              <w:right w:val="single" w:color="auto" w:sz="4" w:space="0"/>
            </w:tcBorders>
            <w:vAlign w:val="center"/>
          </w:tcPr>
          <w:p w14:paraId="1180BF5A">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1368</w:t>
            </w:r>
          </w:p>
        </w:tc>
        <w:tc>
          <w:tcPr>
            <w:tcW w:w="441" w:type="pct"/>
            <w:vMerge w:val="restart"/>
            <w:tcBorders>
              <w:top w:val="nil"/>
              <w:left w:val="single" w:color="auto" w:sz="4" w:space="0"/>
              <w:bottom w:val="single" w:color="000000" w:sz="4" w:space="0"/>
              <w:right w:val="single" w:color="auto" w:sz="4" w:space="0"/>
            </w:tcBorders>
            <w:vAlign w:val="center"/>
          </w:tcPr>
          <w:p w14:paraId="357155B0">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1476</w:t>
            </w:r>
          </w:p>
        </w:tc>
        <w:tc>
          <w:tcPr>
            <w:tcW w:w="569" w:type="pct"/>
            <w:tcBorders>
              <w:top w:val="nil"/>
              <w:left w:val="nil"/>
              <w:bottom w:val="single" w:color="auto" w:sz="4" w:space="0"/>
              <w:right w:val="single" w:color="auto" w:sz="4" w:space="0"/>
            </w:tcBorders>
            <w:vAlign w:val="center"/>
          </w:tcPr>
          <w:p w14:paraId="1D98D0DD">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38.38%</w:t>
            </w:r>
          </w:p>
        </w:tc>
        <w:tc>
          <w:tcPr>
            <w:tcW w:w="570" w:type="pct"/>
            <w:vMerge w:val="restart"/>
            <w:tcBorders>
              <w:top w:val="nil"/>
              <w:left w:val="single" w:color="auto" w:sz="4" w:space="0"/>
              <w:bottom w:val="single" w:color="000000" w:sz="4" w:space="0"/>
              <w:right w:val="single" w:color="auto" w:sz="4" w:space="0"/>
            </w:tcBorders>
            <w:vAlign w:val="center"/>
          </w:tcPr>
          <w:p w14:paraId="2C17977A">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41.41%</w:t>
            </w:r>
          </w:p>
        </w:tc>
        <w:tc>
          <w:tcPr>
            <w:tcW w:w="438" w:type="pct"/>
            <w:tcBorders>
              <w:top w:val="nil"/>
              <w:left w:val="nil"/>
              <w:bottom w:val="single" w:color="auto" w:sz="4" w:space="0"/>
              <w:right w:val="single" w:color="auto" w:sz="4" w:space="0"/>
            </w:tcBorders>
            <w:vAlign w:val="center"/>
          </w:tcPr>
          <w:p w14:paraId="33F82F04">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76</w:t>
            </w:r>
          </w:p>
        </w:tc>
        <w:tc>
          <w:tcPr>
            <w:tcW w:w="441" w:type="pct"/>
            <w:vMerge w:val="restart"/>
            <w:tcBorders>
              <w:top w:val="nil"/>
              <w:left w:val="single" w:color="auto" w:sz="4" w:space="0"/>
              <w:bottom w:val="single" w:color="000000" w:sz="4" w:space="0"/>
              <w:right w:val="single" w:color="auto" w:sz="4" w:space="0"/>
            </w:tcBorders>
            <w:vAlign w:val="center"/>
          </w:tcPr>
          <w:p w14:paraId="0EE93089">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82</w:t>
            </w:r>
          </w:p>
        </w:tc>
        <w:tc>
          <w:tcPr>
            <w:tcW w:w="563" w:type="pct"/>
            <w:tcBorders>
              <w:top w:val="nil"/>
              <w:left w:val="nil"/>
              <w:bottom w:val="single" w:color="auto" w:sz="4" w:space="0"/>
              <w:right w:val="single" w:color="auto" w:sz="4" w:space="0"/>
            </w:tcBorders>
            <w:vAlign w:val="center"/>
          </w:tcPr>
          <w:p w14:paraId="70A37EEA">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36.54%</w:t>
            </w:r>
          </w:p>
        </w:tc>
        <w:tc>
          <w:tcPr>
            <w:tcW w:w="562" w:type="pct"/>
            <w:vMerge w:val="restart"/>
            <w:tcBorders>
              <w:top w:val="nil"/>
              <w:left w:val="single" w:color="auto" w:sz="4" w:space="0"/>
              <w:bottom w:val="single" w:color="000000" w:sz="4" w:space="0"/>
              <w:right w:val="single" w:color="auto" w:sz="4" w:space="0"/>
            </w:tcBorders>
            <w:vAlign w:val="center"/>
          </w:tcPr>
          <w:p w14:paraId="186C66AE">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39.42%</w:t>
            </w:r>
          </w:p>
        </w:tc>
      </w:tr>
      <w:tr w14:paraId="754B85EA">
        <w:tblPrEx>
          <w:tblCellMar>
            <w:top w:w="0" w:type="dxa"/>
            <w:left w:w="108" w:type="dxa"/>
            <w:bottom w:w="0" w:type="dxa"/>
            <w:right w:w="108" w:type="dxa"/>
          </w:tblCellMar>
        </w:tblPrEx>
        <w:trPr>
          <w:trHeight w:val="663" w:hRule="atLeast"/>
        </w:trPr>
        <w:tc>
          <w:tcPr>
            <w:tcW w:w="547" w:type="pct"/>
            <w:vMerge w:val="continue"/>
            <w:tcBorders>
              <w:top w:val="nil"/>
              <w:left w:val="single" w:color="auto" w:sz="4" w:space="0"/>
              <w:bottom w:val="single" w:color="000000" w:sz="4" w:space="0"/>
              <w:right w:val="single" w:color="auto" w:sz="4" w:space="0"/>
            </w:tcBorders>
            <w:vAlign w:val="center"/>
          </w:tcPr>
          <w:p w14:paraId="3BDF9A5C">
            <w:pPr>
              <w:overflowPunct w:val="0"/>
              <w:spacing w:line="240" w:lineRule="auto"/>
              <w:ind w:firstLine="0" w:firstLineChars="0"/>
              <w:jc w:val="center"/>
              <w:rPr>
                <w:rFonts w:cs="宋体" w:asciiTheme="minorEastAsia" w:hAnsiTheme="minorEastAsia" w:eastAsiaTheme="minorEastAsia"/>
                <w:bCs/>
                <w:szCs w:val="21"/>
              </w:rPr>
            </w:pPr>
          </w:p>
        </w:tc>
        <w:tc>
          <w:tcPr>
            <w:tcW w:w="431" w:type="pct"/>
            <w:tcBorders>
              <w:top w:val="nil"/>
              <w:left w:val="nil"/>
              <w:bottom w:val="single" w:color="auto" w:sz="4" w:space="0"/>
              <w:right w:val="single" w:color="auto" w:sz="4" w:space="0"/>
            </w:tcBorders>
            <w:vAlign w:val="center"/>
          </w:tcPr>
          <w:p w14:paraId="02C76CEE">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选修</w:t>
            </w:r>
          </w:p>
        </w:tc>
        <w:tc>
          <w:tcPr>
            <w:tcW w:w="438" w:type="pct"/>
            <w:tcBorders>
              <w:top w:val="nil"/>
              <w:left w:val="nil"/>
              <w:bottom w:val="single" w:color="auto" w:sz="4" w:space="0"/>
              <w:right w:val="single" w:color="auto" w:sz="4" w:space="0"/>
            </w:tcBorders>
            <w:vAlign w:val="center"/>
          </w:tcPr>
          <w:p w14:paraId="5EF17D5C">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108</w:t>
            </w:r>
          </w:p>
        </w:tc>
        <w:tc>
          <w:tcPr>
            <w:tcW w:w="441" w:type="pct"/>
            <w:vMerge w:val="continue"/>
            <w:tcBorders>
              <w:top w:val="nil"/>
              <w:left w:val="single" w:color="auto" w:sz="4" w:space="0"/>
              <w:bottom w:val="single" w:color="000000" w:sz="4" w:space="0"/>
              <w:right w:val="single" w:color="auto" w:sz="4" w:space="0"/>
            </w:tcBorders>
            <w:vAlign w:val="center"/>
          </w:tcPr>
          <w:p w14:paraId="4807CA4C">
            <w:pPr>
              <w:overflowPunct w:val="0"/>
              <w:spacing w:line="240" w:lineRule="auto"/>
              <w:ind w:firstLine="0" w:firstLineChars="0"/>
              <w:jc w:val="center"/>
              <w:rPr>
                <w:rFonts w:cs="宋体" w:asciiTheme="minorEastAsia" w:hAnsiTheme="minorEastAsia" w:eastAsiaTheme="minorEastAsia"/>
                <w:bCs/>
                <w:szCs w:val="21"/>
              </w:rPr>
            </w:pPr>
          </w:p>
        </w:tc>
        <w:tc>
          <w:tcPr>
            <w:tcW w:w="569" w:type="pct"/>
            <w:tcBorders>
              <w:top w:val="nil"/>
              <w:left w:val="nil"/>
              <w:bottom w:val="single" w:color="auto" w:sz="4" w:space="0"/>
              <w:right w:val="single" w:color="auto" w:sz="4" w:space="0"/>
            </w:tcBorders>
            <w:vAlign w:val="center"/>
          </w:tcPr>
          <w:p w14:paraId="212B028D">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3.03%</w:t>
            </w:r>
          </w:p>
        </w:tc>
        <w:tc>
          <w:tcPr>
            <w:tcW w:w="570" w:type="pct"/>
            <w:vMerge w:val="continue"/>
            <w:tcBorders>
              <w:top w:val="nil"/>
              <w:left w:val="single" w:color="auto" w:sz="4" w:space="0"/>
              <w:bottom w:val="single" w:color="000000" w:sz="4" w:space="0"/>
              <w:right w:val="single" w:color="auto" w:sz="4" w:space="0"/>
            </w:tcBorders>
            <w:vAlign w:val="center"/>
          </w:tcPr>
          <w:p w14:paraId="070189FE">
            <w:pPr>
              <w:overflowPunct w:val="0"/>
              <w:spacing w:line="240" w:lineRule="auto"/>
              <w:ind w:firstLine="0" w:firstLineChars="0"/>
              <w:jc w:val="center"/>
              <w:rPr>
                <w:rFonts w:cs="宋体" w:asciiTheme="minorEastAsia" w:hAnsiTheme="minorEastAsia" w:eastAsiaTheme="minorEastAsia"/>
                <w:bCs/>
                <w:szCs w:val="21"/>
              </w:rPr>
            </w:pPr>
          </w:p>
        </w:tc>
        <w:tc>
          <w:tcPr>
            <w:tcW w:w="438" w:type="pct"/>
            <w:tcBorders>
              <w:top w:val="nil"/>
              <w:left w:val="nil"/>
              <w:bottom w:val="single" w:color="auto" w:sz="4" w:space="0"/>
              <w:right w:val="single" w:color="auto" w:sz="4" w:space="0"/>
            </w:tcBorders>
            <w:vAlign w:val="center"/>
          </w:tcPr>
          <w:p w14:paraId="379C1C23">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6</w:t>
            </w:r>
          </w:p>
        </w:tc>
        <w:tc>
          <w:tcPr>
            <w:tcW w:w="441" w:type="pct"/>
            <w:vMerge w:val="continue"/>
            <w:tcBorders>
              <w:top w:val="nil"/>
              <w:left w:val="single" w:color="auto" w:sz="4" w:space="0"/>
              <w:bottom w:val="single" w:color="000000" w:sz="4" w:space="0"/>
              <w:right w:val="single" w:color="auto" w:sz="4" w:space="0"/>
            </w:tcBorders>
            <w:vAlign w:val="center"/>
          </w:tcPr>
          <w:p w14:paraId="3B26C276">
            <w:pPr>
              <w:overflowPunct w:val="0"/>
              <w:spacing w:line="240" w:lineRule="auto"/>
              <w:ind w:firstLine="0" w:firstLineChars="0"/>
              <w:jc w:val="center"/>
              <w:rPr>
                <w:rFonts w:cs="宋体" w:asciiTheme="minorEastAsia" w:hAnsiTheme="minorEastAsia" w:eastAsiaTheme="minorEastAsia"/>
                <w:bCs/>
                <w:szCs w:val="21"/>
              </w:rPr>
            </w:pPr>
          </w:p>
        </w:tc>
        <w:tc>
          <w:tcPr>
            <w:tcW w:w="563" w:type="pct"/>
            <w:tcBorders>
              <w:top w:val="nil"/>
              <w:left w:val="nil"/>
              <w:bottom w:val="single" w:color="auto" w:sz="4" w:space="0"/>
              <w:right w:val="single" w:color="auto" w:sz="4" w:space="0"/>
            </w:tcBorders>
            <w:vAlign w:val="center"/>
          </w:tcPr>
          <w:p w14:paraId="6560BE9B">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2.88%</w:t>
            </w:r>
          </w:p>
        </w:tc>
        <w:tc>
          <w:tcPr>
            <w:tcW w:w="562" w:type="pct"/>
            <w:vMerge w:val="continue"/>
            <w:tcBorders>
              <w:top w:val="nil"/>
              <w:left w:val="single" w:color="auto" w:sz="4" w:space="0"/>
              <w:bottom w:val="single" w:color="000000" w:sz="4" w:space="0"/>
              <w:right w:val="single" w:color="auto" w:sz="4" w:space="0"/>
            </w:tcBorders>
            <w:vAlign w:val="center"/>
          </w:tcPr>
          <w:p w14:paraId="041BDEC9">
            <w:pPr>
              <w:overflowPunct w:val="0"/>
              <w:spacing w:line="240" w:lineRule="auto"/>
              <w:ind w:firstLine="0" w:firstLineChars="0"/>
              <w:jc w:val="center"/>
              <w:rPr>
                <w:rFonts w:cs="宋体" w:asciiTheme="minorEastAsia" w:hAnsiTheme="minorEastAsia" w:eastAsiaTheme="minorEastAsia"/>
                <w:bCs/>
                <w:szCs w:val="21"/>
              </w:rPr>
            </w:pPr>
          </w:p>
        </w:tc>
      </w:tr>
      <w:tr w14:paraId="3D309825">
        <w:tblPrEx>
          <w:tblCellMar>
            <w:top w:w="0" w:type="dxa"/>
            <w:left w:w="108" w:type="dxa"/>
            <w:bottom w:w="0" w:type="dxa"/>
            <w:right w:w="108" w:type="dxa"/>
          </w:tblCellMar>
        </w:tblPrEx>
        <w:trPr>
          <w:trHeight w:val="663" w:hRule="atLeast"/>
        </w:trPr>
        <w:tc>
          <w:tcPr>
            <w:tcW w:w="547" w:type="pct"/>
            <w:vMerge w:val="restart"/>
            <w:tcBorders>
              <w:top w:val="nil"/>
              <w:left w:val="single" w:color="auto" w:sz="4" w:space="0"/>
              <w:bottom w:val="single" w:color="000000" w:sz="4" w:space="0"/>
              <w:right w:val="single" w:color="auto" w:sz="4" w:space="0"/>
            </w:tcBorders>
            <w:vAlign w:val="center"/>
          </w:tcPr>
          <w:p w14:paraId="7F030146">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专业技能课</w:t>
            </w:r>
          </w:p>
        </w:tc>
        <w:tc>
          <w:tcPr>
            <w:tcW w:w="431" w:type="pct"/>
            <w:tcBorders>
              <w:top w:val="nil"/>
              <w:left w:val="nil"/>
              <w:bottom w:val="single" w:color="auto" w:sz="4" w:space="0"/>
              <w:right w:val="single" w:color="auto" w:sz="4" w:space="0"/>
            </w:tcBorders>
            <w:vAlign w:val="center"/>
          </w:tcPr>
          <w:p w14:paraId="573D6C4A">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必修</w:t>
            </w:r>
          </w:p>
        </w:tc>
        <w:tc>
          <w:tcPr>
            <w:tcW w:w="438" w:type="pct"/>
            <w:tcBorders>
              <w:top w:val="nil"/>
              <w:left w:val="nil"/>
              <w:bottom w:val="single" w:color="auto" w:sz="4" w:space="0"/>
              <w:right w:val="single" w:color="auto" w:sz="4" w:space="0"/>
            </w:tcBorders>
            <w:vAlign w:val="center"/>
          </w:tcPr>
          <w:p w14:paraId="35B284EA">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1332</w:t>
            </w:r>
          </w:p>
        </w:tc>
        <w:tc>
          <w:tcPr>
            <w:tcW w:w="441" w:type="pct"/>
            <w:vMerge w:val="restart"/>
            <w:tcBorders>
              <w:top w:val="nil"/>
              <w:left w:val="single" w:color="auto" w:sz="4" w:space="0"/>
              <w:bottom w:val="single" w:color="000000" w:sz="4" w:space="0"/>
              <w:right w:val="single" w:color="auto" w:sz="4" w:space="0"/>
            </w:tcBorders>
            <w:vAlign w:val="center"/>
          </w:tcPr>
          <w:p w14:paraId="75597D74">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1548</w:t>
            </w:r>
          </w:p>
        </w:tc>
        <w:tc>
          <w:tcPr>
            <w:tcW w:w="569" w:type="pct"/>
            <w:tcBorders>
              <w:top w:val="nil"/>
              <w:left w:val="nil"/>
              <w:bottom w:val="single" w:color="auto" w:sz="4" w:space="0"/>
              <w:right w:val="single" w:color="auto" w:sz="4" w:space="0"/>
            </w:tcBorders>
            <w:vAlign w:val="center"/>
          </w:tcPr>
          <w:p w14:paraId="563738A8">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37.37%</w:t>
            </w:r>
          </w:p>
        </w:tc>
        <w:tc>
          <w:tcPr>
            <w:tcW w:w="570" w:type="pct"/>
            <w:vMerge w:val="restart"/>
            <w:tcBorders>
              <w:top w:val="nil"/>
              <w:left w:val="single" w:color="auto" w:sz="4" w:space="0"/>
              <w:bottom w:val="single" w:color="000000" w:sz="4" w:space="0"/>
              <w:right w:val="single" w:color="auto" w:sz="4" w:space="0"/>
            </w:tcBorders>
            <w:vAlign w:val="center"/>
          </w:tcPr>
          <w:p w14:paraId="716EB52A">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43.43%</w:t>
            </w:r>
          </w:p>
        </w:tc>
        <w:tc>
          <w:tcPr>
            <w:tcW w:w="438" w:type="pct"/>
            <w:tcBorders>
              <w:top w:val="nil"/>
              <w:left w:val="nil"/>
              <w:bottom w:val="single" w:color="auto" w:sz="4" w:space="0"/>
              <w:right w:val="single" w:color="auto" w:sz="4" w:space="0"/>
            </w:tcBorders>
            <w:vAlign w:val="center"/>
          </w:tcPr>
          <w:p w14:paraId="1A991949">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74</w:t>
            </w:r>
          </w:p>
        </w:tc>
        <w:tc>
          <w:tcPr>
            <w:tcW w:w="441" w:type="pct"/>
            <w:vMerge w:val="restart"/>
            <w:tcBorders>
              <w:top w:val="nil"/>
              <w:left w:val="single" w:color="auto" w:sz="4" w:space="0"/>
              <w:bottom w:val="single" w:color="000000" w:sz="4" w:space="0"/>
              <w:right w:val="single" w:color="auto" w:sz="4" w:space="0"/>
            </w:tcBorders>
            <w:vAlign w:val="center"/>
          </w:tcPr>
          <w:p w14:paraId="1851D538">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86</w:t>
            </w:r>
          </w:p>
        </w:tc>
        <w:tc>
          <w:tcPr>
            <w:tcW w:w="563" w:type="pct"/>
            <w:tcBorders>
              <w:top w:val="nil"/>
              <w:left w:val="nil"/>
              <w:bottom w:val="single" w:color="auto" w:sz="4" w:space="0"/>
              <w:right w:val="single" w:color="auto" w:sz="4" w:space="0"/>
            </w:tcBorders>
            <w:vAlign w:val="center"/>
          </w:tcPr>
          <w:p w14:paraId="3044F8FB">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35.58%</w:t>
            </w:r>
          </w:p>
        </w:tc>
        <w:tc>
          <w:tcPr>
            <w:tcW w:w="562" w:type="pct"/>
            <w:vMerge w:val="restart"/>
            <w:tcBorders>
              <w:top w:val="nil"/>
              <w:left w:val="single" w:color="auto" w:sz="4" w:space="0"/>
              <w:bottom w:val="single" w:color="000000" w:sz="4" w:space="0"/>
              <w:right w:val="single" w:color="auto" w:sz="4" w:space="0"/>
            </w:tcBorders>
            <w:vAlign w:val="center"/>
          </w:tcPr>
          <w:p w14:paraId="42BE49CB">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41.35%</w:t>
            </w:r>
          </w:p>
        </w:tc>
      </w:tr>
      <w:tr w14:paraId="2A35E040">
        <w:tblPrEx>
          <w:tblCellMar>
            <w:top w:w="0" w:type="dxa"/>
            <w:left w:w="108" w:type="dxa"/>
            <w:bottom w:w="0" w:type="dxa"/>
            <w:right w:w="108" w:type="dxa"/>
          </w:tblCellMar>
        </w:tblPrEx>
        <w:trPr>
          <w:trHeight w:val="663" w:hRule="atLeast"/>
        </w:trPr>
        <w:tc>
          <w:tcPr>
            <w:tcW w:w="547" w:type="pct"/>
            <w:vMerge w:val="continue"/>
            <w:tcBorders>
              <w:top w:val="nil"/>
              <w:left w:val="single" w:color="auto" w:sz="4" w:space="0"/>
              <w:bottom w:val="single" w:color="000000" w:sz="4" w:space="0"/>
              <w:right w:val="single" w:color="auto" w:sz="4" w:space="0"/>
            </w:tcBorders>
            <w:vAlign w:val="center"/>
          </w:tcPr>
          <w:p w14:paraId="4152D4F0">
            <w:pPr>
              <w:overflowPunct w:val="0"/>
              <w:spacing w:line="240" w:lineRule="auto"/>
              <w:ind w:firstLine="0" w:firstLineChars="0"/>
              <w:jc w:val="center"/>
              <w:rPr>
                <w:rFonts w:cs="宋体" w:asciiTheme="minorEastAsia" w:hAnsiTheme="minorEastAsia" w:eastAsiaTheme="minorEastAsia"/>
                <w:bCs/>
                <w:szCs w:val="21"/>
              </w:rPr>
            </w:pPr>
          </w:p>
        </w:tc>
        <w:tc>
          <w:tcPr>
            <w:tcW w:w="431" w:type="pct"/>
            <w:tcBorders>
              <w:top w:val="nil"/>
              <w:left w:val="nil"/>
              <w:bottom w:val="single" w:color="auto" w:sz="4" w:space="0"/>
              <w:right w:val="single" w:color="auto" w:sz="4" w:space="0"/>
            </w:tcBorders>
            <w:vAlign w:val="center"/>
          </w:tcPr>
          <w:p w14:paraId="6DFA3D6C">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选修</w:t>
            </w:r>
          </w:p>
        </w:tc>
        <w:tc>
          <w:tcPr>
            <w:tcW w:w="438" w:type="pct"/>
            <w:tcBorders>
              <w:top w:val="nil"/>
              <w:left w:val="nil"/>
              <w:bottom w:val="single" w:color="auto" w:sz="4" w:space="0"/>
              <w:right w:val="single" w:color="auto" w:sz="4" w:space="0"/>
            </w:tcBorders>
            <w:vAlign w:val="center"/>
          </w:tcPr>
          <w:p w14:paraId="23318377">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216</w:t>
            </w:r>
          </w:p>
        </w:tc>
        <w:tc>
          <w:tcPr>
            <w:tcW w:w="441" w:type="pct"/>
            <w:vMerge w:val="continue"/>
            <w:tcBorders>
              <w:top w:val="nil"/>
              <w:left w:val="single" w:color="auto" w:sz="4" w:space="0"/>
              <w:bottom w:val="single" w:color="000000" w:sz="4" w:space="0"/>
              <w:right w:val="single" w:color="auto" w:sz="4" w:space="0"/>
            </w:tcBorders>
            <w:vAlign w:val="center"/>
          </w:tcPr>
          <w:p w14:paraId="0595E171">
            <w:pPr>
              <w:overflowPunct w:val="0"/>
              <w:spacing w:line="240" w:lineRule="auto"/>
              <w:ind w:firstLine="0" w:firstLineChars="0"/>
              <w:jc w:val="center"/>
              <w:rPr>
                <w:rFonts w:cs="宋体" w:asciiTheme="minorEastAsia" w:hAnsiTheme="minorEastAsia" w:eastAsiaTheme="minorEastAsia"/>
                <w:bCs/>
                <w:szCs w:val="21"/>
              </w:rPr>
            </w:pPr>
          </w:p>
        </w:tc>
        <w:tc>
          <w:tcPr>
            <w:tcW w:w="569" w:type="pct"/>
            <w:tcBorders>
              <w:top w:val="nil"/>
              <w:left w:val="nil"/>
              <w:bottom w:val="single" w:color="auto" w:sz="4" w:space="0"/>
              <w:right w:val="single" w:color="auto" w:sz="4" w:space="0"/>
            </w:tcBorders>
            <w:vAlign w:val="center"/>
          </w:tcPr>
          <w:p w14:paraId="65D5C361">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6.06%</w:t>
            </w:r>
          </w:p>
        </w:tc>
        <w:tc>
          <w:tcPr>
            <w:tcW w:w="570" w:type="pct"/>
            <w:vMerge w:val="continue"/>
            <w:tcBorders>
              <w:top w:val="nil"/>
              <w:left w:val="single" w:color="auto" w:sz="4" w:space="0"/>
              <w:bottom w:val="single" w:color="000000" w:sz="4" w:space="0"/>
              <w:right w:val="single" w:color="auto" w:sz="4" w:space="0"/>
            </w:tcBorders>
            <w:vAlign w:val="center"/>
          </w:tcPr>
          <w:p w14:paraId="25154486">
            <w:pPr>
              <w:overflowPunct w:val="0"/>
              <w:spacing w:line="240" w:lineRule="auto"/>
              <w:ind w:firstLine="0" w:firstLineChars="0"/>
              <w:jc w:val="center"/>
              <w:rPr>
                <w:rFonts w:cs="宋体" w:asciiTheme="minorEastAsia" w:hAnsiTheme="minorEastAsia" w:eastAsiaTheme="minorEastAsia"/>
                <w:bCs/>
                <w:szCs w:val="21"/>
              </w:rPr>
            </w:pPr>
          </w:p>
        </w:tc>
        <w:tc>
          <w:tcPr>
            <w:tcW w:w="438" w:type="pct"/>
            <w:tcBorders>
              <w:top w:val="nil"/>
              <w:left w:val="nil"/>
              <w:bottom w:val="single" w:color="auto" w:sz="4" w:space="0"/>
              <w:right w:val="single" w:color="auto" w:sz="4" w:space="0"/>
            </w:tcBorders>
            <w:vAlign w:val="center"/>
          </w:tcPr>
          <w:p w14:paraId="62498FFE">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12</w:t>
            </w:r>
          </w:p>
        </w:tc>
        <w:tc>
          <w:tcPr>
            <w:tcW w:w="441" w:type="pct"/>
            <w:vMerge w:val="continue"/>
            <w:tcBorders>
              <w:top w:val="nil"/>
              <w:left w:val="single" w:color="auto" w:sz="4" w:space="0"/>
              <w:bottom w:val="single" w:color="000000" w:sz="4" w:space="0"/>
              <w:right w:val="single" w:color="auto" w:sz="4" w:space="0"/>
            </w:tcBorders>
            <w:vAlign w:val="center"/>
          </w:tcPr>
          <w:p w14:paraId="37CE9C8F">
            <w:pPr>
              <w:overflowPunct w:val="0"/>
              <w:spacing w:line="240" w:lineRule="auto"/>
              <w:ind w:firstLine="0" w:firstLineChars="0"/>
              <w:jc w:val="center"/>
              <w:rPr>
                <w:rFonts w:cs="宋体" w:asciiTheme="minorEastAsia" w:hAnsiTheme="minorEastAsia" w:eastAsiaTheme="minorEastAsia"/>
                <w:bCs/>
                <w:szCs w:val="21"/>
              </w:rPr>
            </w:pPr>
          </w:p>
        </w:tc>
        <w:tc>
          <w:tcPr>
            <w:tcW w:w="563" w:type="pct"/>
            <w:tcBorders>
              <w:top w:val="nil"/>
              <w:left w:val="nil"/>
              <w:bottom w:val="single" w:color="auto" w:sz="4" w:space="0"/>
              <w:right w:val="single" w:color="auto" w:sz="4" w:space="0"/>
            </w:tcBorders>
            <w:vAlign w:val="center"/>
          </w:tcPr>
          <w:p w14:paraId="406FAEAC">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5.77%</w:t>
            </w:r>
          </w:p>
        </w:tc>
        <w:tc>
          <w:tcPr>
            <w:tcW w:w="562" w:type="pct"/>
            <w:vMerge w:val="continue"/>
            <w:tcBorders>
              <w:top w:val="nil"/>
              <w:left w:val="single" w:color="auto" w:sz="4" w:space="0"/>
              <w:bottom w:val="single" w:color="000000" w:sz="4" w:space="0"/>
              <w:right w:val="single" w:color="auto" w:sz="4" w:space="0"/>
            </w:tcBorders>
            <w:vAlign w:val="center"/>
          </w:tcPr>
          <w:p w14:paraId="0E209DBF">
            <w:pPr>
              <w:overflowPunct w:val="0"/>
              <w:spacing w:line="240" w:lineRule="auto"/>
              <w:ind w:firstLine="0" w:firstLineChars="0"/>
              <w:jc w:val="center"/>
              <w:rPr>
                <w:rFonts w:cs="宋体" w:asciiTheme="minorEastAsia" w:hAnsiTheme="minorEastAsia" w:eastAsiaTheme="minorEastAsia"/>
                <w:bCs/>
                <w:szCs w:val="21"/>
              </w:rPr>
            </w:pPr>
          </w:p>
        </w:tc>
      </w:tr>
      <w:tr w14:paraId="438425EC">
        <w:tblPrEx>
          <w:tblCellMar>
            <w:top w:w="0" w:type="dxa"/>
            <w:left w:w="108" w:type="dxa"/>
            <w:bottom w:w="0" w:type="dxa"/>
            <w:right w:w="108" w:type="dxa"/>
          </w:tblCellMar>
        </w:tblPrEx>
        <w:trPr>
          <w:trHeight w:val="663" w:hRule="atLeast"/>
        </w:trPr>
        <w:tc>
          <w:tcPr>
            <w:tcW w:w="547" w:type="pct"/>
            <w:tcBorders>
              <w:top w:val="nil"/>
              <w:left w:val="single" w:color="auto" w:sz="4" w:space="0"/>
              <w:bottom w:val="single" w:color="auto" w:sz="4" w:space="0"/>
              <w:right w:val="single" w:color="auto" w:sz="4" w:space="0"/>
            </w:tcBorders>
            <w:vAlign w:val="center"/>
          </w:tcPr>
          <w:p w14:paraId="2EDCBF32">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实习实训</w:t>
            </w:r>
          </w:p>
        </w:tc>
        <w:tc>
          <w:tcPr>
            <w:tcW w:w="431" w:type="pct"/>
            <w:tcBorders>
              <w:top w:val="nil"/>
              <w:left w:val="nil"/>
              <w:bottom w:val="single" w:color="auto" w:sz="4" w:space="0"/>
              <w:right w:val="single" w:color="auto" w:sz="4" w:space="0"/>
            </w:tcBorders>
            <w:vAlign w:val="center"/>
          </w:tcPr>
          <w:p w14:paraId="7638C6EC">
            <w:pPr>
              <w:overflowPunct w:val="0"/>
              <w:spacing w:line="240" w:lineRule="auto"/>
              <w:ind w:firstLine="0" w:firstLineChars="0"/>
              <w:jc w:val="center"/>
              <w:rPr>
                <w:rFonts w:cs="宋体" w:asciiTheme="minorEastAsia" w:hAnsiTheme="minorEastAsia" w:eastAsiaTheme="minorEastAsia"/>
                <w:bCs/>
                <w:szCs w:val="21"/>
              </w:rPr>
            </w:pPr>
          </w:p>
        </w:tc>
        <w:tc>
          <w:tcPr>
            <w:tcW w:w="438" w:type="pct"/>
            <w:tcBorders>
              <w:top w:val="nil"/>
              <w:left w:val="nil"/>
              <w:bottom w:val="single" w:color="auto" w:sz="4" w:space="0"/>
              <w:right w:val="single" w:color="auto" w:sz="4" w:space="0"/>
            </w:tcBorders>
            <w:vAlign w:val="center"/>
          </w:tcPr>
          <w:p w14:paraId="0D7828E0">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540</w:t>
            </w:r>
          </w:p>
        </w:tc>
        <w:tc>
          <w:tcPr>
            <w:tcW w:w="441" w:type="pct"/>
            <w:tcBorders>
              <w:top w:val="nil"/>
              <w:left w:val="nil"/>
              <w:bottom w:val="single" w:color="auto" w:sz="4" w:space="0"/>
              <w:right w:val="single" w:color="auto" w:sz="4" w:space="0"/>
            </w:tcBorders>
            <w:vAlign w:val="center"/>
          </w:tcPr>
          <w:p w14:paraId="2EA4CA21">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540</w:t>
            </w:r>
          </w:p>
        </w:tc>
        <w:tc>
          <w:tcPr>
            <w:tcW w:w="569" w:type="pct"/>
            <w:tcBorders>
              <w:top w:val="nil"/>
              <w:left w:val="nil"/>
              <w:bottom w:val="single" w:color="auto" w:sz="4" w:space="0"/>
              <w:right w:val="single" w:color="auto" w:sz="4" w:space="0"/>
            </w:tcBorders>
            <w:vAlign w:val="center"/>
          </w:tcPr>
          <w:p w14:paraId="1BB64505">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15.15%</w:t>
            </w:r>
          </w:p>
        </w:tc>
        <w:tc>
          <w:tcPr>
            <w:tcW w:w="570" w:type="pct"/>
            <w:tcBorders>
              <w:top w:val="nil"/>
              <w:left w:val="nil"/>
              <w:bottom w:val="single" w:color="auto" w:sz="4" w:space="0"/>
              <w:right w:val="single" w:color="auto" w:sz="4" w:space="0"/>
            </w:tcBorders>
            <w:vAlign w:val="center"/>
          </w:tcPr>
          <w:p w14:paraId="3D512967">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15.15%</w:t>
            </w:r>
          </w:p>
        </w:tc>
        <w:tc>
          <w:tcPr>
            <w:tcW w:w="438" w:type="pct"/>
            <w:tcBorders>
              <w:top w:val="nil"/>
              <w:left w:val="nil"/>
              <w:bottom w:val="single" w:color="auto" w:sz="4" w:space="0"/>
              <w:right w:val="single" w:color="auto" w:sz="4" w:space="0"/>
            </w:tcBorders>
            <w:vAlign w:val="center"/>
          </w:tcPr>
          <w:p w14:paraId="5F878257">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40</w:t>
            </w:r>
          </w:p>
        </w:tc>
        <w:tc>
          <w:tcPr>
            <w:tcW w:w="441" w:type="pct"/>
            <w:tcBorders>
              <w:top w:val="nil"/>
              <w:left w:val="nil"/>
              <w:bottom w:val="single" w:color="auto" w:sz="4" w:space="0"/>
              <w:right w:val="single" w:color="auto" w:sz="4" w:space="0"/>
            </w:tcBorders>
            <w:vAlign w:val="center"/>
          </w:tcPr>
          <w:p w14:paraId="7EC16780">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40</w:t>
            </w:r>
          </w:p>
        </w:tc>
        <w:tc>
          <w:tcPr>
            <w:tcW w:w="563" w:type="pct"/>
            <w:tcBorders>
              <w:top w:val="nil"/>
              <w:left w:val="nil"/>
              <w:bottom w:val="single" w:color="auto" w:sz="4" w:space="0"/>
              <w:right w:val="single" w:color="auto" w:sz="4" w:space="0"/>
            </w:tcBorders>
            <w:vAlign w:val="center"/>
          </w:tcPr>
          <w:p w14:paraId="5BB60AFA">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19.23%</w:t>
            </w:r>
          </w:p>
        </w:tc>
        <w:tc>
          <w:tcPr>
            <w:tcW w:w="562" w:type="pct"/>
            <w:tcBorders>
              <w:top w:val="nil"/>
              <w:left w:val="nil"/>
              <w:bottom w:val="single" w:color="auto" w:sz="4" w:space="0"/>
              <w:right w:val="single" w:color="auto" w:sz="4" w:space="0"/>
            </w:tcBorders>
            <w:vAlign w:val="center"/>
          </w:tcPr>
          <w:p w14:paraId="2FFFA10C">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19.23%</w:t>
            </w:r>
          </w:p>
        </w:tc>
      </w:tr>
      <w:tr w14:paraId="2CC510B2">
        <w:tblPrEx>
          <w:tblCellMar>
            <w:top w:w="0" w:type="dxa"/>
            <w:left w:w="108" w:type="dxa"/>
            <w:bottom w:w="0" w:type="dxa"/>
            <w:right w:w="108" w:type="dxa"/>
          </w:tblCellMar>
        </w:tblPrEx>
        <w:trPr>
          <w:trHeight w:val="663" w:hRule="atLeast"/>
        </w:trPr>
        <w:tc>
          <w:tcPr>
            <w:tcW w:w="547" w:type="pct"/>
            <w:tcBorders>
              <w:top w:val="nil"/>
              <w:left w:val="single" w:color="auto" w:sz="4" w:space="0"/>
              <w:bottom w:val="single" w:color="auto" w:sz="4" w:space="0"/>
              <w:right w:val="single" w:color="auto" w:sz="4" w:space="0"/>
            </w:tcBorders>
            <w:vAlign w:val="center"/>
          </w:tcPr>
          <w:p w14:paraId="2BC1A7EE">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选修课</w:t>
            </w:r>
          </w:p>
        </w:tc>
        <w:tc>
          <w:tcPr>
            <w:tcW w:w="431" w:type="pct"/>
            <w:tcBorders>
              <w:top w:val="nil"/>
              <w:left w:val="nil"/>
              <w:bottom w:val="single" w:color="auto" w:sz="4" w:space="0"/>
              <w:right w:val="single" w:color="auto" w:sz="4" w:space="0"/>
            </w:tcBorders>
            <w:vAlign w:val="center"/>
          </w:tcPr>
          <w:p w14:paraId="3548EBC6">
            <w:pPr>
              <w:overflowPunct w:val="0"/>
              <w:spacing w:line="240" w:lineRule="auto"/>
              <w:ind w:firstLine="0" w:firstLineChars="0"/>
              <w:jc w:val="center"/>
              <w:rPr>
                <w:rFonts w:cs="宋体" w:asciiTheme="minorEastAsia" w:hAnsiTheme="minorEastAsia" w:eastAsiaTheme="minorEastAsia"/>
                <w:bCs/>
                <w:szCs w:val="21"/>
              </w:rPr>
            </w:pPr>
          </w:p>
        </w:tc>
        <w:tc>
          <w:tcPr>
            <w:tcW w:w="438" w:type="pct"/>
            <w:tcBorders>
              <w:top w:val="nil"/>
              <w:left w:val="nil"/>
              <w:bottom w:val="single" w:color="auto" w:sz="4" w:space="0"/>
              <w:right w:val="single" w:color="auto" w:sz="4" w:space="0"/>
            </w:tcBorders>
            <w:vAlign w:val="center"/>
          </w:tcPr>
          <w:p w14:paraId="00F6674F">
            <w:pPr>
              <w:overflowPunct w:val="0"/>
              <w:spacing w:line="240" w:lineRule="auto"/>
              <w:ind w:firstLine="0" w:firstLineChars="0"/>
              <w:jc w:val="center"/>
              <w:rPr>
                <w:rFonts w:cs="宋体" w:asciiTheme="minorEastAsia" w:hAnsiTheme="minorEastAsia" w:eastAsiaTheme="minorEastAsia"/>
                <w:bCs/>
                <w:szCs w:val="21"/>
                <w:lang w:eastAsia="zh"/>
              </w:rPr>
            </w:pPr>
            <w:r>
              <w:rPr>
                <w:rFonts w:hint="eastAsia" w:cs="宋体" w:asciiTheme="minorEastAsia" w:hAnsiTheme="minorEastAsia" w:eastAsiaTheme="minorEastAsia"/>
                <w:bCs/>
                <w:szCs w:val="21"/>
                <w:lang w:eastAsia="zh"/>
              </w:rPr>
              <w:t>324</w:t>
            </w:r>
          </w:p>
        </w:tc>
        <w:tc>
          <w:tcPr>
            <w:tcW w:w="441" w:type="pct"/>
            <w:tcBorders>
              <w:top w:val="nil"/>
              <w:left w:val="nil"/>
              <w:bottom w:val="single" w:color="auto" w:sz="4" w:space="0"/>
              <w:right w:val="single" w:color="auto" w:sz="4" w:space="0"/>
            </w:tcBorders>
            <w:vAlign w:val="center"/>
          </w:tcPr>
          <w:p w14:paraId="35CB111E">
            <w:pPr>
              <w:overflowPunct w:val="0"/>
              <w:spacing w:line="240" w:lineRule="auto"/>
              <w:ind w:firstLine="0" w:firstLineChars="0"/>
              <w:jc w:val="center"/>
              <w:rPr>
                <w:rFonts w:cs="宋体" w:asciiTheme="minorEastAsia" w:hAnsiTheme="minorEastAsia" w:eastAsiaTheme="minorEastAsia"/>
                <w:bCs/>
                <w:szCs w:val="21"/>
              </w:rPr>
            </w:pPr>
          </w:p>
        </w:tc>
        <w:tc>
          <w:tcPr>
            <w:tcW w:w="569" w:type="pct"/>
            <w:tcBorders>
              <w:top w:val="nil"/>
              <w:left w:val="nil"/>
              <w:bottom w:val="single" w:color="auto" w:sz="4" w:space="0"/>
              <w:right w:val="single" w:color="auto" w:sz="4" w:space="0"/>
            </w:tcBorders>
            <w:vAlign w:val="center"/>
          </w:tcPr>
          <w:p w14:paraId="4FB17510">
            <w:pPr>
              <w:overflowPunct w:val="0"/>
              <w:spacing w:line="240" w:lineRule="auto"/>
              <w:ind w:firstLine="0" w:firstLineChars="0"/>
              <w:jc w:val="center"/>
              <w:rPr>
                <w:rFonts w:cs="宋体" w:asciiTheme="minorEastAsia" w:hAnsiTheme="minorEastAsia" w:eastAsiaTheme="minorEastAsia"/>
                <w:bCs/>
                <w:szCs w:val="21"/>
              </w:rPr>
            </w:pPr>
          </w:p>
        </w:tc>
        <w:tc>
          <w:tcPr>
            <w:tcW w:w="570" w:type="pct"/>
            <w:tcBorders>
              <w:top w:val="nil"/>
              <w:left w:val="nil"/>
              <w:bottom w:val="single" w:color="auto" w:sz="4" w:space="0"/>
              <w:right w:val="single" w:color="auto" w:sz="4" w:space="0"/>
            </w:tcBorders>
            <w:vAlign w:val="center"/>
          </w:tcPr>
          <w:p w14:paraId="25F76C8E">
            <w:pPr>
              <w:widowControl/>
              <w:adjustRightInd/>
              <w:snapToGrid/>
              <w:spacing w:line="240" w:lineRule="auto"/>
              <w:ind w:firstLine="0" w:firstLineChars="0"/>
              <w:jc w:val="center"/>
              <w:rPr>
                <w:rFonts w:ascii="等线" w:hAnsi="等线" w:eastAsia="等线"/>
                <w:color w:val="000000"/>
                <w:kern w:val="0"/>
                <w:sz w:val="22"/>
                <w:szCs w:val="22"/>
              </w:rPr>
            </w:pPr>
            <w:r>
              <w:rPr>
                <w:rFonts w:hint="eastAsia" w:ascii="等线" w:hAnsi="等线" w:eastAsia="等线"/>
                <w:color w:val="000000"/>
                <w:sz w:val="22"/>
                <w:szCs w:val="22"/>
              </w:rPr>
              <w:t>9.09%</w:t>
            </w:r>
          </w:p>
        </w:tc>
        <w:tc>
          <w:tcPr>
            <w:tcW w:w="438" w:type="pct"/>
            <w:tcBorders>
              <w:top w:val="nil"/>
              <w:left w:val="nil"/>
              <w:bottom w:val="single" w:color="auto" w:sz="4" w:space="0"/>
              <w:right w:val="single" w:color="auto" w:sz="4" w:space="0"/>
            </w:tcBorders>
            <w:vAlign w:val="center"/>
          </w:tcPr>
          <w:p w14:paraId="659446EB">
            <w:pPr>
              <w:overflowPunct w:val="0"/>
              <w:spacing w:line="240" w:lineRule="auto"/>
              <w:ind w:firstLine="0" w:firstLineChars="0"/>
              <w:jc w:val="center"/>
              <w:rPr>
                <w:rFonts w:cs="宋体" w:asciiTheme="minorEastAsia" w:hAnsiTheme="minorEastAsia" w:eastAsiaTheme="minorEastAsia"/>
                <w:bCs/>
                <w:szCs w:val="21"/>
              </w:rPr>
            </w:pPr>
          </w:p>
        </w:tc>
        <w:tc>
          <w:tcPr>
            <w:tcW w:w="441" w:type="pct"/>
            <w:tcBorders>
              <w:top w:val="nil"/>
              <w:left w:val="nil"/>
              <w:bottom w:val="single" w:color="auto" w:sz="4" w:space="0"/>
              <w:right w:val="single" w:color="auto" w:sz="4" w:space="0"/>
            </w:tcBorders>
            <w:vAlign w:val="center"/>
          </w:tcPr>
          <w:p w14:paraId="2FD34F29">
            <w:pPr>
              <w:overflowPunct w:val="0"/>
              <w:spacing w:line="240" w:lineRule="auto"/>
              <w:ind w:firstLine="0" w:firstLineChars="0"/>
              <w:jc w:val="center"/>
              <w:rPr>
                <w:rFonts w:cs="宋体" w:asciiTheme="minorEastAsia" w:hAnsiTheme="minorEastAsia" w:eastAsiaTheme="minorEastAsia"/>
                <w:bCs/>
                <w:szCs w:val="21"/>
              </w:rPr>
            </w:pPr>
            <w:r>
              <w:rPr>
                <w:rFonts w:hint="eastAsia" w:ascii="等线" w:hAnsi="等线" w:eastAsia="等线"/>
                <w:color w:val="000000"/>
                <w:sz w:val="22"/>
                <w:szCs w:val="22"/>
              </w:rPr>
              <w:t>18</w:t>
            </w:r>
          </w:p>
        </w:tc>
        <w:tc>
          <w:tcPr>
            <w:tcW w:w="563" w:type="pct"/>
            <w:tcBorders>
              <w:top w:val="nil"/>
              <w:left w:val="nil"/>
              <w:bottom w:val="single" w:color="auto" w:sz="4" w:space="0"/>
              <w:right w:val="single" w:color="auto" w:sz="4" w:space="0"/>
            </w:tcBorders>
            <w:vAlign w:val="center"/>
          </w:tcPr>
          <w:p w14:paraId="225CF57D">
            <w:pPr>
              <w:overflowPunct w:val="0"/>
              <w:spacing w:line="240" w:lineRule="auto"/>
              <w:ind w:firstLine="0" w:firstLineChars="0"/>
              <w:jc w:val="center"/>
              <w:rPr>
                <w:rFonts w:cs="宋体" w:asciiTheme="minorEastAsia" w:hAnsiTheme="minorEastAsia" w:eastAsiaTheme="minorEastAsia"/>
                <w:bCs/>
                <w:szCs w:val="21"/>
              </w:rPr>
            </w:pPr>
          </w:p>
        </w:tc>
        <w:tc>
          <w:tcPr>
            <w:tcW w:w="562" w:type="pct"/>
            <w:tcBorders>
              <w:top w:val="nil"/>
              <w:left w:val="nil"/>
              <w:bottom w:val="single" w:color="auto" w:sz="4" w:space="0"/>
              <w:right w:val="single" w:color="auto" w:sz="4" w:space="0"/>
            </w:tcBorders>
            <w:vAlign w:val="center"/>
          </w:tcPr>
          <w:p w14:paraId="1EB823C9">
            <w:pPr>
              <w:overflowPunct w:val="0"/>
              <w:spacing w:line="240" w:lineRule="auto"/>
              <w:ind w:firstLine="0" w:firstLineChars="0"/>
              <w:jc w:val="center"/>
              <w:rPr>
                <w:rFonts w:cs="宋体" w:asciiTheme="minorEastAsia" w:hAnsiTheme="minorEastAsia" w:eastAsiaTheme="minorEastAsia"/>
                <w:bCs/>
                <w:szCs w:val="21"/>
                <w:lang w:eastAsia="zh"/>
              </w:rPr>
            </w:pPr>
            <w:r>
              <w:rPr>
                <w:rFonts w:hint="eastAsia" w:cs="宋体" w:asciiTheme="minorEastAsia" w:hAnsiTheme="minorEastAsia" w:eastAsiaTheme="minorEastAsia"/>
                <w:bCs/>
                <w:szCs w:val="21"/>
                <w:lang w:eastAsia="zh"/>
              </w:rPr>
              <w:t>8.65%</w:t>
            </w:r>
          </w:p>
        </w:tc>
      </w:tr>
      <w:tr w14:paraId="7B793C92">
        <w:tblPrEx>
          <w:tblCellMar>
            <w:top w:w="0" w:type="dxa"/>
            <w:left w:w="108" w:type="dxa"/>
            <w:bottom w:w="0" w:type="dxa"/>
            <w:right w:w="108" w:type="dxa"/>
          </w:tblCellMar>
        </w:tblPrEx>
        <w:trPr>
          <w:trHeight w:val="663" w:hRule="atLeast"/>
        </w:trPr>
        <w:tc>
          <w:tcPr>
            <w:tcW w:w="978" w:type="pct"/>
            <w:gridSpan w:val="2"/>
            <w:tcBorders>
              <w:top w:val="single" w:color="auto" w:sz="4" w:space="0"/>
              <w:left w:val="single" w:color="auto" w:sz="4" w:space="0"/>
              <w:bottom w:val="single" w:color="auto" w:sz="4" w:space="0"/>
              <w:right w:val="single" w:color="000000" w:sz="4" w:space="0"/>
            </w:tcBorders>
            <w:shd w:val="clear" w:color="000000" w:fill="BDD7EE"/>
            <w:vAlign w:val="center"/>
          </w:tcPr>
          <w:p w14:paraId="22530DE8">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总计</w:t>
            </w:r>
          </w:p>
        </w:tc>
        <w:tc>
          <w:tcPr>
            <w:tcW w:w="879" w:type="pct"/>
            <w:gridSpan w:val="2"/>
            <w:tcBorders>
              <w:top w:val="single" w:color="auto" w:sz="4" w:space="0"/>
              <w:left w:val="nil"/>
              <w:bottom w:val="single" w:color="auto" w:sz="4" w:space="0"/>
              <w:right w:val="single" w:color="000000" w:sz="4" w:space="0"/>
            </w:tcBorders>
            <w:shd w:val="clear" w:color="000000" w:fill="BDD7EE"/>
            <w:vAlign w:val="center"/>
          </w:tcPr>
          <w:p w14:paraId="74A9971F">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3684</w:t>
            </w:r>
          </w:p>
        </w:tc>
        <w:tc>
          <w:tcPr>
            <w:tcW w:w="1139" w:type="pct"/>
            <w:gridSpan w:val="2"/>
            <w:tcBorders>
              <w:top w:val="single" w:color="auto" w:sz="4" w:space="0"/>
              <w:left w:val="nil"/>
              <w:bottom w:val="single" w:color="auto" w:sz="4" w:space="0"/>
              <w:right w:val="single" w:color="000000" w:sz="4" w:space="0"/>
            </w:tcBorders>
            <w:shd w:val="clear" w:color="000000" w:fill="BDD7EE"/>
            <w:vAlign w:val="center"/>
          </w:tcPr>
          <w:p w14:paraId="27BAD38D">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100.00%</w:t>
            </w:r>
          </w:p>
        </w:tc>
        <w:tc>
          <w:tcPr>
            <w:tcW w:w="879" w:type="pct"/>
            <w:gridSpan w:val="2"/>
            <w:tcBorders>
              <w:top w:val="single" w:color="auto" w:sz="4" w:space="0"/>
              <w:left w:val="nil"/>
              <w:bottom w:val="single" w:color="auto" w:sz="4" w:space="0"/>
              <w:right w:val="single" w:color="000000" w:sz="4" w:space="0"/>
            </w:tcBorders>
            <w:shd w:val="clear" w:color="000000" w:fill="BDD7EE"/>
            <w:vAlign w:val="center"/>
          </w:tcPr>
          <w:p w14:paraId="10291C6A">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358</w:t>
            </w:r>
          </w:p>
        </w:tc>
        <w:tc>
          <w:tcPr>
            <w:tcW w:w="1125" w:type="pct"/>
            <w:gridSpan w:val="2"/>
            <w:tcBorders>
              <w:top w:val="single" w:color="auto" w:sz="4" w:space="0"/>
              <w:left w:val="nil"/>
              <w:bottom w:val="single" w:color="auto" w:sz="4" w:space="0"/>
              <w:right w:val="single" w:color="000000" w:sz="4" w:space="0"/>
            </w:tcBorders>
            <w:shd w:val="clear" w:color="000000" w:fill="BDD7EE"/>
            <w:vAlign w:val="center"/>
          </w:tcPr>
          <w:p w14:paraId="08819102">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100.00%</w:t>
            </w:r>
          </w:p>
        </w:tc>
      </w:tr>
    </w:tbl>
    <w:p w14:paraId="61CA3B09">
      <w:pPr>
        <w:pStyle w:val="2"/>
        <w:ind w:firstLine="720"/>
      </w:pPr>
      <w:bookmarkStart w:id="44" w:name="_Toc213423793"/>
      <w:r>
        <w:rPr>
          <w:rFonts w:hint="eastAsia"/>
        </w:rPr>
        <w:t>九</w:t>
      </w:r>
      <w:r>
        <w:t>、</w:t>
      </w:r>
      <w:bookmarkEnd w:id="42"/>
      <w:bookmarkEnd w:id="43"/>
      <w:r>
        <w:rPr>
          <w:rFonts w:hint="eastAsia"/>
        </w:rPr>
        <w:t>师资队伍</w:t>
      </w:r>
      <w:bookmarkEnd w:id="44"/>
    </w:p>
    <w:p w14:paraId="6E972665">
      <w:pPr>
        <w:pStyle w:val="162"/>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按照“四有好老师”、“四个相统一”、“四个引路人”的要求建设专业教师队伍，师德师风作为教师队伍建设的第一标准。</w:t>
      </w:r>
    </w:p>
    <w:p w14:paraId="58277CBB">
      <w:pPr>
        <w:pStyle w:val="3"/>
        <w:ind w:firstLine="422"/>
      </w:pPr>
      <w:bookmarkStart w:id="45" w:name="_Toc212238061"/>
      <w:bookmarkStart w:id="46" w:name="_Toc213423794"/>
      <w:r>
        <w:t>（</w:t>
      </w:r>
      <w:r>
        <w:rPr>
          <w:rFonts w:hint="eastAsia"/>
        </w:rPr>
        <w:t>一</w:t>
      </w:r>
      <w:r>
        <w:t>）</w:t>
      </w:r>
      <w:bookmarkEnd w:id="45"/>
      <w:r>
        <w:rPr>
          <w:rFonts w:hint="eastAsia"/>
        </w:rPr>
        <w:t>队伍结构</w:t>
      </w:r>
      <w:bookmarkEnd w:id="46"/>
    </w:p>
    <w:p w14:paraId="76E0FA4D">
      <w:pPr>
        <w:ind w:firstLine="480"/>
      </w:pPr>
      <w:r>
        <w:rPr>
          <w:rFonts w:hint="eastAsia"/>
        </w:rPr>
        <w:t>根据教育部颁布的《中等职业学校教师专业标准》和《中等职业学校设置标准》的有关规定，进行教师队伍建设，合理配置教师资源。</w:t>
      </w:r>
    </w:p>
    <w:p w14:paraId="67FCA535">
      <w:pPr>
        <w:ind w:firstLine="480"/>
      </w:pPr>
      <w:r>
        <w:rPr>
          <w:rFonts w:hint="eastAsia"/>
        </w:rPr>
        <w:t>专业教师学历职称结构应合理，配备具有相关专业中级以上专业技术职务的专任教师和兼职教师队伍；建立“双师型”专业教师团队，“双师型”教师占比不低于专任教师总数的</w:t>
      </w:r>
      <w:r>
        <w:t>5</w:t>
      </w:r>
      <w:r>
        <w:rPr>
          <w:rFonts w:hint="eastAsia"/>
        </w:rPr>
        <w:t>0%；具有业务水平较高的专业带头人。</w:t>
      </w:r>
    </w:p>
    <w:p w14:paraId="637B8519">
      <w:pPr>
        <w:ind w:firstLine="480"/>
      </w:pPr>
      <w:r>
        <w:rPr>
          <w:rFonts w:hint="eastAsia"/>
        </w:rPr>
        <w:t>专任教师每5年需完成不少于6个月的企业实践；有良好的师德，关注学生发展；具备中等职业学校教师资格证书和职业资格三级以上证书；熟悉动漫与游戏制作专业课程体系，具备终身学习能力和教学改革意识，能持续吸收行业和教育界新知识。</w:t>
      </w:r>
    </w:p>
    <w:p w14:paraId="083F2712">
      <w:pPr>
        <w:pStyle w:val="3"/>
        <w:ind w:firstLine="422"/>
      </w:pPr>
      <w:bookmarkStart w:id="47" w:name="_Toc213423795"/>
      <w:r>
        <w:rPr>
          <w:rFonts w:hint="eastAsia"/>
        </w:rPr>
        <w:t>（二）专业带头人</w:t>
      </w:r>
      <w:bookmarkEnd w:id="47"/>
    </w:p>
    <w:p w14:paraId="0530B0D1">
      <w:pPr>
        <w:ind w:firstLine="480"/>
        <w:rPr>
          <w:rFonts w:ascii="Arial" w:hAnsi="Arial" w:eastAsia="仿宋_GB2312"/>
          <w:b/>
          <w:bCs/>
          <w:sz w:val="32"/>
          <w:szCs w:val="32"/>
        </w:rPr>
      </w:pPr>
      <w:r>
        <w:t>原则上应具有视觉传达、数字媒体艺术等相关专业副高级及以上职称，并具备深厚的行业实践功底。其须能广泛联系广告传媒、互联网、文化创意等行业企业，深入了解国内外在设计趋势、数字技术应用及用户体验（UX/UI）设计等领域的发展动态，精准把握行业对高素质设计人才的用人需求。在此基础上，带头人应具备卓越的专业规划与建设能力，能够有效组织开展课程体系开发、教学资源库建设、教学改革与研究以及技术应用与社会服务等工作，并在本专业的改革创新与可持续发展中发挥核心引领作用。</w:t>
      </w:r>
    </w:p>
    <w:p w14:paraId="4DE8C791">
      <w:pPr>
        <w:pStyle w:val="3"/>
        <w:ind w:firstLine="422"/>
      </w:pPr>
      <w:bookmarkStart w:id="48" w:name="_Toc213423796"/>
      <w:r>
        <w:rPr>
          <w:rFonts w:hint="eastAsia"/>
        </w:rPr>
        <w:t>（三）专任教师</w:t>
      </w:r>
      <w:bookmarkEnd w:id="48"/>
    </w:p>
    <w:p w14:paraId="42552797">
      <w:pPr>
        <w:ind w:firstLine="480"/>
      </w:pPr>
      <w:r>
        <w:t>专任教师应持有教师资格证书，具备视觉传达设计、数字媒体艺术、平面设计等相关专业学历，并拥有一定年限的行业设计实践或教学经验，达到相应的专业技术技能水平。教师需掌握扎实的设计理论与软件操作技能，能够将课程思政要求有机融入教学，深入挖掘设计伦理、品牌文化、信息可视化等课程中的思政元素与育人资源。同时，应精通行业主流设计软件，并能运用在线教学平台、设计协作工具等信息技术开展混合式教学，推动项目化、案例式等教学方法改革。教师还需持续跟踪动态图形设计、用户体验（UX/UI）设计、人工智能生成内容（AIGC）等前沿技术与设计趋势，积极开展社会设计服务与技术应用。专业教师每年应保证至少1个月在广告公司、互联网企业或设计机构进行实践锻炼，每5年累计不少于6个月的行业一线实践经历，以确保教学与行业发展的同步性。</w:t>
      </w:r>
    </w:p>
    <w:p w14:paraId="1644FEE8">
      <w:pPr>
        <w:pStyle w:val="3"/>
        <w:ind w:firstLine="422"/>
      </w:pPr>
      <w:bookmarkStart w:id="49" w:name="_Toc213423797"/>
      <w:r>
        <w:rPr>
          <w:rFonts w:hint="eastAsia"/>
        </w:rPr>
        <w:t>（四）兼职教师</w:t>
      </w:r>
      <w:bookmarkEnd w:id="49"/>
    </w:p>
    <w:p w14:paraId="4312A03F">
      <w:pPr>
        <w:ind w:firstLine="480"/>
      </w:pPr>
      <w:r>
        <w:t>行业企业兼职教师</w:t>
      </w:r>
      <w:r>
        <w:rPr>
          <w:rFonts w:hint="eastAsia"/>
        </w:rPr>
        <w:t>：聘请</w:t>
      </w:r>
      <w:r>
        <w:t>1-2名行业企业高技能人才担任专业兼职教师，兼职教师应具有高级及以上职业资格或中等以上专业技术职称，能够参与学校授课、讲座等教学活动。</w:t>
      </w:r>
    </w:p>
    <w:p w14:paraId="3992D783">
      <w:pPr>
        <w:pStyle w:val="2"/>
        <w:ind w:firstLine="720"/>
      </w:pPr>
      <w:bookmarkStart w:id="50" w:name="_Toc212238062"/>
      <w:bookmarkStart w:id="51" w:name="_Toc213423798"/>
      <w:r>
        <w:rPr>
          <w:rFonts w:hint="eastAsia"/>
        </w:rPr>
        <w:t>十、教学条件</w:t>
      </w:r>
      <w:bookmarkEnd w:id="50"/>
      <w:bookmarkEnd w:id="51"/>
    </w:p>
    <w:p w14:paraId="2BCE08A4">
      <w:pPr>
        <w:pStyle w:val="3"/>
        <w:ind w:firstLine="422"/>
      </w:pPr>
      <w:bookmarkStart w:id="52" w:name="_Toc212238063"/>
      <w:bookmarkStart w:id="53" w:name="_Toc213423799"/>
      <w:bookmarkStart w:id="54" w:name="_Toc77416443"/>
      <w:r>
        <w:rPr>
          <w:rFonts w:hint="eastAsia"/>
        </w:rPr>
        <w:t>（一）</w:t>
      </w:r>
      <w:bookmarkEnd w:id="52"/>
      <w:r>
        <w:rPr>
          <w:rFonts w:hint="eastAsia"/>
        </w:rPr>
        <w:t>教学设施</w:t>
      </w:r>
      <w:bookmarkEnd w:id="53"/>
    </w:p>
    <w:p w14:paraId="1F7A026D">
      <w:pPr>
        <w:ind w:firstLine="480"/>
      </w:pPr>
      <w:r>
        <w:rPr>
          <w:rFonts w:hint="eastAsia"/>
        </w:rPr>
        <w:t>主要包括能够满足正常的课程教学、实习实训所需的专业教室、实训室和实习实训基地。</w:t>
      </w:r>
    </w:p>
    <w:p w14:paraId="5B6E4665">
      <w:pPr>
        <w:pStyle w:val="4"/>
      </w:pPr>
      <w:r>
        <w:rPr>
          <w:rFonts w:hint="eastAsia"/>
        </w:rPr>
        <w:t>1.</w:t>
      </w:r>
      <w:r>
        <w:t>专业教室基本要求</w:t>
      </w:r>
    </w:p>
    <w:p w14:paraId="16913AE9">
      <w:pPr>
        <w:ind w:firstLine="480"/>
        <w:rPr>
          <w:b/>
          <w:bCs/>
        </w:rPr>
      </w:pPr>
      <w:bookmarkStart w:id="55" w:name="_Toc212238064"/>
      <w: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400C4DD6">
      <w:pPr>
        <w:pStyle w:val="4"/>
      </w:pPr>
      <w:r>
        <w:rPr>
          <w:rFonts w:hint="eastAsia"/>
        </w:rPr>
        <w:t>2.校内实训设施</w:t>
      </w:r>
      <w:bookmarkEnd w:id="55"/>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982"/>
        <w:gridCol w:w="1981"/>
        <w:gridCol w:w="4051"/>
        <w:gridCol w:w="1048"/>
      </w:tblGrid>
      <w:tr w14:paraId="53FC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3C24F49C">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序号</w:t>
            </w:r>
          </w:p>
        </w:tc>
        <w:tc>
          <w:tcPr>
            <w:tcW w:w="576" w:type="pct"/>
            <w:vAlign w:val="center"/>
          </w:tcPr>
          <w:p w14:paraId="0898F4B3">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名称</w:t>
            </w:r>
          </w:p>
        </w:tc>
        <w:tc>
          <w:tcPr>
            <w:tcW w:w="1162" w:type="pct"/>
            <w:vAlign w:val="center"/>
          </w:tcPr>
          <w:p w14:paraId="36973914">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主要实训内容</w:t>
            </w:r>
          </w:p>
        </w:tc>
        <w:tc>
          <w:tcPr>
            <w:tcW w:w="2377" w:type="pct"/>
            <w:vAlign w:val="center"/>
          </w:tcPr>
          <w:p w14:paraId="1F54158D">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设备主要功能（技术参数与要求）</w:t>
            </w:r>
          </w:p>
        </w:tc>
        <w:tc>
          <w:tcPr>
            <w:tcW w:w="615" w:type="pct"/>
            <w:vAlign w:val="center"/>
          </w:tcPr>
          <w:p w14:paraId="114769E1">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工位数</w:t>
            </w:r>
          </w:p>
        </w:tc>
      </w:tr>
      <w:tr w14:paraId="017D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130B7216">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1</w:t>
            </w:r>
          </w:p>
        </w:tc>
        <w:tc>
          <w:tcPr>
            <w:tcW w:w="576" w:type="pct"/>
            <w:vAlign w:val="center"/>
          </w:tcPr>
          <w:p w14:paraId="7A82F4EA">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计算机实训室（1</w:t>
            </w:r>
            <w:r>
              <w:rPr>
                <w:rFonts w:cs="宋体" w:asciiTheme="minorEastAsia" w:hAnsiTheme="minorEastAsia" w:eastAsiaTheme="minorEastAsia"/>
                <w:bCs/>
                <w:szCs w:val="21"/>
              </w:rPr>
              <w:t>0</w:t>
            </w:r>
            <w:r>
              <w:rPr>
                <w:rFonts w:hint="eastAsia" w:cs="宋体" w:asciiTheme="minorEastAsia" w:hAnsiTheme="minorEastAsia" w:eastAsiaTheme="minorEastAsia"/>
                <w:bCs/>
                <w:szCs w:val="21"/>
              </w:rPr>
              <w:t>个）</w:t>
            </w:r>
          </w:p>
        </w:tc>
        <w:tc>
          <w:tcPr>
            <w:tcW w:w="1162" w:type="pct"/>
            <w:vAlign w:val="center"/>
          </w:tcPr>
          <w:p w14:paraId="672BC4DC">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计算机应用基础</w:t>
            </w:r>
            <w:r>
              <w:rPr>
                <w:rFonts w:hint="eastAsia" w:cs="宋体" w:asciiTheme="minorEastAsia" w:hAnsiTheme="minorEastAsia" w:eastAsiaTheme="minorEastAsia"/>
                <w:bCs/>
                <w:szCs w:val="21"/>
              </w:rPr>
              <w:t>、</w:t>
            </w:r>
            <w:r>
              <w:rPr>
                <w:rFonts w:cs="宋体" w:asciiTheme="minorEastAsia" w:hAnsiTheme="minorEastAsia" w:eastAsiaTheme="minorEastAsia"/>
                <w:bCs/>
                <w:szCs w:val="21"/>
              </w:rPr>
              <w:t>常用工具软件</w:t>
            </w:r>
            <w:r>
              <w:rPr>
                <w:rFonts w:hint="eastAsia" w:cs="宋体" w:asciiTheme="minorEastAsia" w:hAnsiTheme="minorEastAsia" w:eastAsiaTheme="minorEastAsia"/>
                <w:bCs/>
                <w:szCs w:val="21"/>
              </w:rPr>
              <w:t>、</w:t>
            </w:r>
            <w:r>
              <w:rPr>
                <w:rFonts w:cs="宋体" w:asciiTheme="minorEastAsia" w:hAnsiTheme="minorEastAsia" w:eastAsiaTheme="minorEastAsia"/>
                <w:bCs/>
                <w:szCs w:val="21"/>
              </w:rPr>
              <w:t>图形图像处理</w:t>
            </w:r>
            <w:r>
              <w:rPr>
                <w:rFonts w:hint="eastAsia" w:cs="宋体" w:asciiTheme="minorEastAsia" w:hAnsiTheme="minorEastAsia" w:eastAsiaTheme="minorEastAsia"/>
                <w:bCs/>
                <w:szCs w:val="21"/>
              </w:rPr>
              <w:t>、</w:t>
            </w:r>
            <w:r>
              <w:rPr>
                <w:rFonts w:cs="宋体" w:asciiTheme="minorEastAsia" w:hAnsiTheme="minorEastAsia" w:eastAsiaTheme="minorEastAsia"/>
                <w:bCs/>
                <w:szCs w:val="21"/>
              </w:rPr>
              <w:t>游戏程序设计专业(技能》方向课</w:t>
            </w:r>
            <w:r>
              <w:rPr>
                <w:rFonts w:hint="eastAsia" w:cs="宋体" w:asciiTheme="minorEastAsia" w:hAnsiTheme="minorEastAsia" w:eastAsiaTheme="minorEastAsia"/>
                <w:bCs/>
                <w:szCs w:val="21"/>
              </w:rPr>
              <w:t>、</w:t>
            </w:r>
            <w:r>
              <w:rPr>
                <w:rFonts w:cs="宋体" w:asciiTheme="minorEastAsia" w:hAnsiTheme="minorEastAsia" w:eastAsiaTheme="minorEastAsia"/>
                <w:bCs/>
                <w:szCs w:val="21"/>
              </w:rPr>
              <w:t>数据库应用</w:t>
            </w:r>
            <w:r>
              <w:rPr>
                <w:rFonts w:hint="eastAsia" w:cs="宋体" w:asciiTheme="minorEastAsia" w:hAnsiTheme="minorEastAsia" w:eastAsiaTheme="minorEastAsia"/>
                <w:bCs/>
                <w:szCs w:val="21"/>
              </w:rPr>
              <w:t>等</w:t>
            </w:r>
          </w:p>
          <w:p w14:paraId="3DB9E9D3">
            <w:pPr>
              <w:overflowPunct w:val="0"/>
              <w:spacing w:line="240" w:lineRule="auto"/>
              <w:ind w:firstLine="0" w:firstLineChars="0"/>
              <w:jc w:val="left"/>
              <w:rPr>
                <w:rFonts w:cs="宋体" w:asciiTheme="minorEastAsia" w:hAnsiTheme="minorEastAsia" w:eastAsiaTheme="minorEastAsia"/>
                <w:bCs/>
                <w:szCs w:val="21"/>
              </w:rPr>
            </w:pPr>
          </w:p>
        </w:tc>
        <w:tc>
          <w:tcPr>
            <w:tcW w:w="2377" w:type="pct"/>
            <w:vAlign w:val="center"/>
          </w:tcPr>
          <w:p w14:paraId="6E122865">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计算机：CPU：</w:t>
            </w:r>
            <w:r>
              <w:rPr>
                <w:rFonts w:cs="宋体" w:asciiTheme="minorEastAsia" w:hAnsiTheme="minorEastAsia" w:eastAsiaTheme="minorEastAsia"/>
                <w:bCs/>
                <w:szCs w:val="21"/>
              </w:rPr>
              <w:t>≥</w:t>
            </w:r>
            <w:r>
              <w:rPr>
                <w:rFonts w:hint="eastAsia" w:cs="宋体" w:asciiTheme="minorEastAsia" w:hAnsiTheme="minorEastAsia" w:eastAsiaTheme="minorEastAsia"/>
                <w:bCs/>
                <w:szCs w:val="21"/>
              </w:rPr>
              <w:t>主流多核；内存：</w:t>
            </w:r>
            <w:r>
              <w:rPr>
                <w:rFonts w:cs="宋体" w:asciiTheme="minorEastAsia" w:hAnsiTheme="minorEastAsia" w:eastAsiaTheme="minorEastAsia"/>
                <w:bCs/>
                <w:szCs w:val="21"/>
              </w:rPr>
              <w:t>≥2</w:t>
            </w:r>
            <w:r>
              <w:rPr>
                <w:rFonts w:hint="eastAsia" w:cs="宋体" w:asciiTheme="minorEastAsia" w:hAnsiTheme="minorEastAsia" w:eastAsiaTheme="minorEastAsia"/>
                <w:bCs/>
                <w:szCs w:val="21"/>
              </w:rPr>
              <w:t>GB；硬盘：</w:t>
            </w:r>
            <w:r>
              <w:rPr>
                <w:rFonts w:cs="宋体" w:asciiTheme="minorEastAsia" w:hAnsiTheme="minorEastAsia" w:eastAsiaTheme="minorEastAsia"/>
                <w:bCs/>
                <w:szCs w:val="21"/>
              </w:rPr>
              <w:t>≥250</w:t>
            </w:r>
            <w:r>
              <w:rPr>
                <w:rFonts w:hint="eastAsia" w:cs="宋体" w:asciiTheme="minorEastAsia" w:hAnsiTheme="minorEastAsia" w:eastAsiaTheme="minorEastAsia"/>
                <w:bCs/>
                <w:szCs w:val="21"/>
              </w:rPr>
              <w:t>GB；支持网络同传和硬盘保护；可选多媒体教学支持系统；耳机、麦克风；软件：桌面操作系统、</w:t>
            </w:r>
            <w:r>
              <w:rPr>
                <w:rFonts w:cs="宋体" w:asciiTheme="minorEastAsia" w:hAnsiTheme="minorEastAsia" w:eastAsiaTheme="minorEastAsia"/>
                <w:bCs/>
                <w:szCs w:val="21"/>
              </w:rPr>
              <w:t>Office办公软件、常用工具软件、图形图像处理软件、多媒体制作软件、网页设计与制作软件、网页动画软件、</w:t>
            </w:r>
            <w:r>
              <w:rPr>
                <w:rFonts w:hint="eastAsia" w:cs="宋体" w:asciiTheme="minorEastAsia" w:hAnsiTheme="minorEastAsia" w:eastAsiaTheme="minorEastAsia"/>
                <w:bCs/>
                <w:szCs w:val="21"/>
              </w:rPr>
              <w:t>数据库软件、虚拟机及相关系统镜像软件；原画设计、模型制作、动画制作、贴图绘制、</w:t>
            </w:r>
            <w:r>
              <w:rPr>
                <w:rFonts w:cs="宋体" w:asciiTheme="minorEastAsia" w:hAnsiTheme="minorEastAsia" w:eastAsiaTheme="minorEastAsia"/>
                <w:bCs/>
                <w:szCs w:val="21"/>
              </w:rPr>
              <w:t>UI</w:t>
            </w:r>
            <w:r>
              <w:rPr>
                <w:rFonts w:hint="eastAsia" w:cs="宋体" w:asciiTheme="minorEastAsia" w:hAnsiTheme="minorEastAsia" w:eastAsiaTheme="minorEastAsia"/>
                <w:bCs/>
                <w:szCs w:val="21"/>
              </w:rPr>
              <w:t>设计与制作应用等实训教学等</w:t>
            </w:r>
          </w:p>
        </w:tc>
        <w:tc>
          <w:tcPr>
            <w:tcW w:w="615" w:type="pct"/>
            <w:vAlign w:val="center"/>
          </w:tcPr>
          <w:p w14:paraId="6AA7F73E">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≥50</w:t>
            </w:r>
            <w:r>
              <w:rPr>
                <w:rFonts w:hint="eastAsia" w:cs="宋体" w:asciiTheme="minorEastAsia" w:hAnsiTheme="minorEastAsia" w:eastAsiaTheme="minorEastAsia"/>
                <w:bCs/>
                <w:szCs w:val="21"/>
              </w:rPr>
              <w:t>工位</w:t>
            </w:r>
          </w:p>
        </w:tc>
      </w:tr>
      <w:tr w14:paraId="04A2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713D6B06">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2</w:t>
            </w:r>
          </w:p>
        </w:tc>
        <w:tc>
          <w:tcPr>
            <w:tcW w:w="576" w:type="pct"/>
            <w:vAlign w:val="center"/>
          </w:tcPr>
          <w:p w14:paraId="28870D24">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摄影摄像技术实训室（2个）</w:t>
            </w:r>
          </w:p>
        </w:tc>
        <w:tc>
          <w:tcPr>
            <w:tcW w:w="1162" w:type="pct"/>
            <w:vAlign w:val="center"/>
          </w:tcPr>
          <w:p w14:paraId="7C2D62D6">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摄影摄像技术</w:t>
            </w:r>
          </w:p>
        </w:tc>
        <w:tc>
          <w:tcPr>
            <w:tcW w:w="2377" w:type="pct"/>
            <w:vAlign w:val="center"/>
          </w:tcPr>
          <w:p w14:paraId="74BA64C8">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高性能计算机、耳机、教学专用存储服务器等设备设施，用于特效制作类、影视后期合成类课程等实训教学。数码相机、数码摄像机；灯光、背景布、静物台；数码照片洗印设备、彩色喷墨打印机；计算机；多媒体教学设备</w:t>
            </w:r>
          </w:p>
        </w:tc>
        <w:tc>
          <w:tcPr>
            <w:tcW w:w="615" w:type="pct"/>
            <w:vAlign w:val="center"/>
          </w:tcPr>
          <w:p w14:paraId="2B268034">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≥48</w:t>
            </w:r>
            <w:r>
              <w:rPr>
                <w:rFonts w:hint="eastAsia" w:cs="宋体" w:asciiTheme="minorEastAsia" w:hAnsiTheme="minorEastAsia" w:eastAsiaTheme="minorEastAsia"/>
                <w:bCs/>
                <w:szCs w:val="21"/>
              </w:rPr>
              <w:t>工位</w:t>
            </w:r>
          </w:p>
        </w:tc>
      </w:tr>
      <w:tr w14:paraId="0311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0B612693">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3</w:t>
            </w:r>
          </w:p>
        </w:tc>
        <w:tc>
          <w:tcPr>
            <w:tcW w:w="576" w:type="pct"/>
            <w:vAlign w:val="center"/>
          </w:tcPr>
          <w:p w14:paraId="3102F041">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画室（</w:t>
            </w:r>
            <w:r>
              <w:rPr>
                <w:rFonts w:cs="宋体" w:asciiTheme="minorEastAsia" w:hAnsiTheme="minorEastAsia" w:eastAsiaTheme="minorEastAsia"/>
                <w:bCs/>
                <w:szCs w:val="21"/>
              </w:rPr>
              <w:t>4</w:t>
            </w:r>
            <w:r>
              <w:rPr>
                <w:rFonts w:hint="eastAsia" w:cs="宋体" w:asciiTheme="minorEastAsia" w:hAnsiTheme="minorEastAsia" w:eastAsiaTheme="minorEastAsia"/>
                <w:bCs/>
                <w:szCs w:val="21"/>
              </w:rPr>
              <w:t>个）</w:t>
            </w:r>
          </w:p>
        </w:tc>
        <w:tc>
          <w:tcPr>
            <w:tcW w:w="1162" w:type="pct"/>
            <w:vAlign w:val="center"/>
          </w:tcPr>
          <w:p w14:paraId="15931F61">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动漫美术基础、造型基础、动漫手绘与上色技术、动画原画制作</w:t>
            </w:r>
          </w:p>
        </w:tc>
        <w:tc>
          <w:tcPr>
            <w:tcW w:w="2377" w:type="pct"/>
            <w:vAlign w:val="center"/>
          </w:tcPr>
          <w:p w14:paraId="578DA5A5">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配备投影设备、黑板或白板、画架与画凳、供水与排水设施、素描灯、石音道具、静物台等设备设施，用于素描、色彩、色彩构成、平面构成等实训教学。</w:t>
            </w:r>
          </w:p>
        </w:tc>
        <w:tc>
          <w:tcPr>
            <w:tcW w:w="615" w:type="pct"/>
            <w:vAlign w:val="center"/>
          </w:tcPr>
          <w:p w14:paraId="55EA327A">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≥48</w:t>
            </w:r>
            <w:r>
              <w:rPr>
                <w:rFonts w:hint="eastAsia" w:cs="宋体" w:asciiTheme="minorEastAsia" w:hAnsiTheme="minorEastAsia" w:eastAsiaTheme="minorEastAsia"/>
                <w:bCs/>
                <w:szCs w:val="21"/>
              </w:rPr>
              <w:t>工位</w:t>
            </w:r>
          </w:p>
        </w:tc>
      </w:tr>
      <w:tr w14:paraId="0C4D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682FF056">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4</w:t>
            </w:r>
          </w:p>
        </w:tc>
        <w:tc>
          <w:tcPr>
            <w:tcW w:w="576" w:type="pct"/>
            <w:vAlign w:val="center"/>
          </w:tcPr>
          <w:p w14:paraId="67A29DEC">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平面工作室（1个）</w:t>
            </w:r>
          </w:p>
        </w:tc>
        <w:tc>
          <w:tcPr>
            <w:tcW w:w="1162" w:type="pct"/>
            <w:vAlign w:val="center"/>
          </w:tcPr>
          <w:p w14:paraId="1AC06787">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图形图像处理、动画设计软件应用、数字影音处理、</w:t>
            </w:r>
          </w:p>
          <w:p w14:paraId="654E0FC3">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动漫手绘与上色技术</w:t>
            </w:r>
          </w:p>
        </w:tc>
        <w:tc>
          <w:tcPr>
            <w:tcW w:w="2377" w:type="pct"/>
            <w:vAlign w:val="center"/>
          </w:tcPr>
          <w:p w14:paraId="61B6B734">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扫描仪：产品类型：平板式；最大幅面：≥A4；光学分辨率：≥2400×4800dpi；数位手绘板；彩色激光打印机：分辨率：≥1200×600dpi；速度：≥12ppm；幅面：≥A3；软件：</w:t>
            </w:r>
            <w:r>
              <w:rPr>
                <w:rFonts w:cs="宋体" w:asciiTheme="minorEastAsia" w:hAnsiTheme="minorEastAsia" w:eastAsiaTheme="minorEastAsia"/>
                <w:bCs/>
                <w:szCs w:val="21"/>
              </w:rPr>
              <w:t>64</w:t>
            </w:r>
            <w:r>
              <w:rPr>
                <w:rFonts w:hint="eastAsia" w:cs="宋体" w:asciiTheme="minorEastAsia" w:hAnsiTheme="minorEastAsia" w:eastAsiaTheme="minorEastAsia"/>
                <w:bCs/>
                <w:szCs w:val="21"/>
              </w:rPr>
              <w:t>位桌面操作系统；图形图像处理软件；多媒体制作软件；网页设计与制作软件；二维动画制作软件；平面设计制作软件；计算机：CPU：≥主流多核；内存：≥4GB；硬盘：≥500GB；独立显卡：显存≥1GB；显示器：分辨率≥1920×1080；网卡：≥1个；支持网络同传和硬盘保护；耳机、麦克风</w:t>
            </w:r>
          </w:p>
        </w:tc>
        <w:tc>
          <w:tcPr>
            <w:tcW w:w="615" w:type="pct"/>
            <w:vAlign w:val="center"/>
          </w:tcPr>
          <w:p w14:paraId="7CA2FE76">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≥20</w:t>
            </w:r>
            <w:r>
              <w:rPr>
                <w:rFonts w:hint="eastAsia" w:cs="宋体" w:asciiTheme="minorEastAsia" w:hAnsiTheme="minorEastAsia" w:eastAsiaTheme="minorEastAsia"/>
                <w:bCs/>
                <w:szCs w:val="21"/>
              </w:rPr>
              <w:t>工位</w:t>
            </w:r>
          </w:p>
        </w:tc>
      </w:tr>
      <w:tr w14:paraId="00E7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705759AD">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5</w:t>
            </w:r>
          </w:p>
        </w:tc>
        <w:tc>
          <w:tcPr>
            <w:tcW w:w="576" w:type="pct"/>
            <w:vAlign w:val="center"/>
          </w:tcPr>
          <w:p w14:paraId="56B329DD">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动画实训室（1个）</w:t>
            </w:r>
          </w:p>
        </w:tc>
        <w:tc>
          <w:tcPr>
            <w:tcW w:w="1162" w:type="pct"/>
            <w:vAlign w:val="center"/>
          </w:tcPr>
          <w:p w14:paraId="2F080D00">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图形图像处理、动画设计软件应用、数字影音处理、动漫手绘与上色技术、动画原画制作、动漫作品制作</w:t>
            </w:r>
          </w:p>
        </w:tc>
        <w:tc>
          <w:tcPr>
            <w:tcW w:w="2377" w:type="pct"/>
            <w:vAlign w:val="center"/>
          </w:tcPr>
          <w:p w14:paraId="23D2A6DF">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高性能计算机、游戏角色手办和参考模型、</w:t>
            </w:r>
            <w:r>
              <w:rPr>
                <w:rFonts w:cs="宋体" w:asciiTheme="minorEastAsia" w:hAnsiTheme="minorEastAsia" w:eastAsiaTheme="minorEastAsia"/>
                <w:bCs/>
                <w:szCs w:val="21"/>
              </w:rPr>
              <w:t>3D</w:t>
            </w:r>
            <w:r>
              <w:rPr>
                <w:rFonts w:hint="eastAsia" w:cs="宋体" w:asciiTheme="minorEastAsia" w:hAnsiTheme="minorEastAsia" w:eastAsiaTheme="minorEastAsia"/>
                <w:bCs/>
                <w:szCs w:val="21"/>
              </w:rPr>
              <w:t>打印机、涂装和喷绘用器材等设备设施，用于数字雕塑、影视与游戏原型设计、影视与游戏周边产品研发等实训教学。影音编辑合成软件；虚拟机及相关系统镜像文件</w:t>
            </w:r>
          </w:p>
        </w:tc>
        <w:tc>
          <w:tcPr>
            <w:tcW w:w="615" w:type="pct"/>
            <w:vAlign w:val="center"/>
          </w:tcPr>
          <w:p w14:paraId="0C0D5074">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≥30</w:t>
            </w:r>
            <w:r>
              <w:rPr>
                <w:rFonts w:hint="eastAsia" w:cs="宋体" w:asciiTheme="minorEastAsia" w:hAnsiTheme="minorEastAsia" w:eastAsiaTheme="minorEastAsia"/>
                <w:bCs/>
                <w:szCs w:val="21"/>
              </w:rPr>
              <w:t>工位</w:t>
            </w:r>
          </w:p>
        </w:tc>
      </w:tr>
      <w:tr w14:paraId="7C97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0184EB63">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576" w:type="pct"/>
            <w:vAlign w:val="center"/>
          </w:tcPr>
          <w:p w14:paraId="72FE843B">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录播实训室（1个）</w:t>
            </w:r>
          </w:p>
        </w:tc>
        <w:tc>
          <w:tcPr>
            <w:tcW w:w="1162" w:type="pct"/>
            <w:vAlign w:val="center"/>
          </w:tcPr>
          <w:p w14:paraId="01CB7756">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视频录制、后期合成</w:t>
            </w:r>
          </w:p>
        </w:tc>
        <w:tc>
          <w:tcPr>
            <w:tcW w:w="2377" w:type="pct"/>
            <w:vAlign w:val="center"/>
          </w:tcPr>
          <w:p w14:paraId="18B7B9A5">
            <w:pPr>
              <w:overflowPunct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数字音频创作编辑系统、录音话筒、监听耳机、耳机分配</w:t>
            </w:r>
            <w:r>
              <w:rPr>
                <w:rFonts w:cs="宋体" w:asciiTheme="minorEastAsia" w:hAnsiTheme="minorEastAsia" w:eastAsiaTheme="minorEastAsia"/>
                <w:bCs/>
                <w:szCs w:val="21"/>
              </w:rPr>
              <w:t>放大器</w:t>
            </w:r>
            <w:r>
              <w:rPr>
                <w:rFonts w:hint="eastAsia" w:cs="宋体" w:asciiTheme="minorEastAsia" w:hAnsiTheme="minorEastAsia" w:eastAsiaTheme="minorEastAsia"/>
                <w:bCs/>
                <w:szCs w:val="21"/>
              </w:rPr>
              <w:t>、监听音箱、音频編辑工作电脑、调音台等</w:t>
            </w:r>
          </w:p>
        </w:tc>
        <w:tc>
          <w:tcPr>
            <w:tcW w:w="615" w:type="pct"/>
            <w:vAlign w:val="center"/>
          </w:tcPr>
          <w:p w14:paraId="3053917E">
            <w:pPr>
              <w:overflowPunct w:val="0"/>
              <w:spacing w:line="240" w:lineRule="auto"/>
              <w:ind w:firstLine="0" w:firstLineChars="0"/>
              <w:jc w:val="left"/>
              <w:rPr>
                <w:rFonts w:cs="宋体" w:asciiTheme="minorEastAsia" w:hAnsiTheme="minorEastAsia" w:eastAsiaTheme="minorEastAsia"/>
                <w:bCs/>
                <w:szCs w:val="21"/>
              </w:rPr>
            </w:pPr>
            <w:r>
              <w:rPr>
                <w:rFonts w:cs="宋体" w:asciiTheme="minorEastAsia" w:hAnsiTheme="minorEastAsia" w:eastAsiaTheme="minorEastAsia"/>
                <w:bCs/>
                <w:szCs w:val="21"/>
              </w:rPr>
              <w:t>≥45</w:t>
            </w:r>
            <w:r>
              <w:rPr>
                <w:rFonts w:hint="eastAsia" w:cs="宋体" w:asciiTheme="minorEastAsia" w:hAnsiTheme="minorEastAsia" w:eastAsiaTheme="minorEastAsia"/>
                <w:bCs/>
                <w:szCs w:val="21"/>
              </w:rPr>
              <w:t>工位</w:t>
            </w:r>
          </w:p>
        </w:tc>
      </w:tr>
    </w:tbl>
    <w:p w14:paraId="33438F41">
      <w:pPr>
        <w:pStyle w:val="4"/>
      </w:pPr>
      <w:bookmarkStart w:id="56" w:name="_Toc212238065"/>
      <w:r>
        <w:rPr>
          <w:rFonts w:hint="eastAsia"/>
        </w:rPr>
        <w:t>3.校外实训基地</w:t>
      </w:r>
      <w:bookmarkEnd w:id="56"/>
    </w:p>
    <w:p w14:paraId="35B53D6F">
      <w:pPr>
        <w:ind w:firstLine="480"/>
      </w:pPr>
      <w:r>
        <w:rPr>
          <w:rFonts w:hint="eastAsia"/>
        </w:rPr>
        <w:t>根据专业人才培养的需要和动漫与游戏制作专业发展的特点</w:t>
      </w:r>
      <w:r>
        <w:t>,在企业建立两类校外实训基地:一类是以专业认知和参观为主的实训基地,能够反映目前专业(技能)方向新技术，能同时接纳较多学生实习，并能为新生入学教育和认知专业课程提供条件;另一类是以岗位实习为主的实训基地，能够为学生提供真实的专业(技能)方向综合实践轮岗训练的工作岗位，并能保证有效工作时间，该基地能根据培养目标要求和实践教学内容，校企合作共同制订实习计划和教学大纲，按进程精心编排教学设计并组织、管理教学过程。</w:t>
      </w:r>
    </w:p>
    <w:p w14:paraId="5F199CD4">
      <w:pPr>
        <w:pStyle w:val="3"/>
      </w:pPr>
      <w:bookmarkStart w:id="57" w:name="_Toc213423800"/>
      <w:bookmarkStart w:id="58" w:name="_Toc212238066"/>
      <w:r>
        <w:rPr>
          <w:rFonts w:hint="eastAsia"/>
        </w:rPr>
        <w:t>（二）教学资源</w:t>
      </w:r>
      <w:bookmarkEnd w:id="57"/>
      <w:bookmarkEnd w:id="58"/>
    </w:p>
    <w:p w14:paraId="75DC0917">
      <w:pPr>
        <w:ind w:firstLine="480"/>
      </w:pPr>
      <w:r>
        <w:t>要包括能够满足学生专业学习、教师专业教学研究和教学实施需要的教材、图书及数字化资源等。</w:t>
      </w:r>
    </w:p>
    <w:p w14:paraId="2AFC178C">
      <w:pPr>
        <w:pStyle w:val="4"/>
      </w:pPr>
      <w:r>
        <w:rPr>
          <w:rFonts w:hint="eastAsia"/>
        </w:rPr>
        <w:t>1.教材选用基本要求</w:t>
      </w:r>
    </w:p>
    <w:p w14:paraId="70134B16">
      <w:pPr>
        <w:ind w:firstLine="480"/>
      </w:pPr>
      <w:r>
        <w:t>按照国家规定，经过规范程序选用教材，优先选用国家规划教材和国家优秀教材。专业课程教材体现本行业新技术、新规范、新标准、新形态，并通过数字教材、活页式教材等多种方式进行动态</w:t>
      </w:r>
      <w:r>
        <w:rPr>
          <w:rFonts w:hint="eastAsia"/>
        </w:rPr>
        <w:t>调整</w:t>
      </w:r>
      <w:r>
        <w:t>。</w:t>
      </w:r>
    </w:p>
    <w:p w14:paraId="4A776B55">
      <w:pPr>
        <w:pStyle w:val="4"/>
      </w:pPr>
      <w:bookmarkStart w:id="59" w:name="_Toc212238067"/>
      <w:r>
        <w:rPr>
          <w:rFonts w:hint="eastAsia"/>
        </w:rPr>
        <w:t>2.图书文献配备基本要求</w:t>
      </w:r>
    </w:p>
    <w:p w14:paraId="47EFD3A2">
      <w:pPr>
        <w:ind w:firstLine="480"/>
      </w:pPr>
      <w:r>
        <w:rPr>
          <w:rFonts w:hint="eastAsia"/>
        </w:rPr>
        <w:t>图书文献配备能满足人才培养、专业建设、教科研等工作的需要。专业类图书文献主要包括：动漫游戏类专业教材、模型素材库、案例库，以及影视动画、游戏制作类教材。及时配置新经济、新技术、新工艺、新材料、新管理方式、新服务方式等相关的图书文献。</w:t>
      </w:r>
    </w:p>
    <w:p w14:paraId="58E54765">
      <w:pPr>
        <w:pStyle w:val="4"/>
      </w:pPr>
      <w:r>
        <w:t>3</w:t>
      </w:r>
      <w:r>
        <w:rPr>
          <w:rFonts w:hint="eastAsia"/>
        </w:rPr>
        <w:t>.数字教学资源配置基本要求</w:t>
      </w:r>
    </w:p>
    <w:p w14:paraId="0BE7D9F0">
      <w:pPr>
        <w:ind w:firstLine="480"/>
      </w:pPr>
      <w:r>
        <w:rPr>
          <w:rFonts w:hint="eastAsia"/>
        </w:rPr>
        <w:t>建设、配备与本专业有关的音视频素材、教学课件、数字化教学案例库、虚拟仿真软件等专业教学资源库，种类丰富、形式多样、使用便捷、动态更新、满足教学。</w:t>
      </w:r>
    </w:p>
    <w:p w14:paraId="4F98D676">
      <w:pPr>
        <w:pStyle w:val="3"/>
        <w:ind w:firstLine="422"/>
      </w:pPr>
      <w:bookmarkStart w:id="60" w:name="_Toc213423801"/>
      <w:r>
        <w:rPr>
          <w:rFonts w:hint="eastAsia"/>
        </w:rPr>
        <w:t>（三）教学方法</w:t>
      </w:r>
      <w:bookmarkEnd w:id="54"/>
      <w:bookmarkEnd w:id="59"/>
      <w:r>
        <w:rPr>
          <w:rFonts w:hint="eastAsia"/>
        </w:rPr>
        <w:t>与模式</w:t>
      </w:r>
      <w:bookmarkEnd w:id="60"/>
    </w:p>
    <w:p w14:paraId="4CBD20FD">
      <w:pPr>
        <w:pStyle w:val="4"/>
        <w:ind w:firstLine="422"/>
      </w:pPr>
      <w:bookmarkStart w:id="61" w:name="_Toc212238068"/>
      <w:bookmarkStart w:id="62" w:name="_Hlk212159204"/>
      <w:r>
        <w:rPr>
          <w:rFonts w:hint="eastAsia"/>
        </w:rPr>
        <w:t>1</w:t>
      </w:r>
      <w:r>
        <w:t>.</w:t>
      </w:r>
      <w:r>
        <w:rPr>
          <w:rFonts w:hint="eastAsia"/>
        </w:rPr>
        <w:t>教学方法：</w:t>
      </w:r>
      <w:bookmarkEnd w:id="61"/>
    </w:p>
    <w:p w14:paraId="06FAAC83">
      <w:pPr>
        <w:ind w:firstLine="480"/>
        <w:rPr>
          <w:lang w:val="zh-CN"/>
        </w:rPr>
      </w:pPr>
      <w:r>
        <w:rPr>
          <w:rFonts w:hint="eastAsia"/>
          <w:lang w:val="zh-CN"/>
        </w:rPr>
        <w:t>本专业提倡教师遵循以下教学方法：</w:t>
      </w:r>
    </w:p>
    <w:p w14:paraId="7625C232">
      <w:pPr>
        <w:ind w:firstLine="480"/>
      </w:pPr>
      <w:r>
        <w:rPr>
          <w:rFonts w:hint="eastAsia"/>
        </w:rPr>
        <w:t>（1）案例教学法：结合实际案例，引导学生从中发现问题、分析问题和解决问题的方法。</w:t>
      </w:r>
    </w:p>
    <w:p w14:paraId="402808F1">
      <w:pPr>
        <w:ind w:firstLine="480"/>
      </w:pPr>
      <w:r>
        <w:rPr>
          <w:rFonts w:hint="eastAsia"/>
        </w:rPr>
        <w:t>（2）项目驱动教学法：通过开展项目实践活动，激发学生的学习兴趣和主动性，培养学生的实践操作能力和团队协作能力。</w:t>
      </w:r>
    </w:p>
    <w:p w14:paraId="6ECDC0EF">
      <w:pPr>
        <w:ind w:firstLine="480"/>
      </w:pPr>
      <w:r>
        <w:rPr>
          <w:rFonts w:hint="eastAsia"/>
        </w:rPr>
        <w:t>（3）讲解与实践相结合的教学方法：在理论授课的同时，加强实践操作环节，让学生在操作中加深理解，提高实践能力。</w:t>
      </w:r>
    </w:p>
    <w:p w14:paraId="6CED478C">
      <w:pPr>
        <w:ind w:firstLine="480"/>
      </w:pPr>
      <w:r>
        <w:rPr>
          <w:rFonts w:hint="eastAsia"/>
        </w:rPr>
        <w:t>（4）多媒体教学法：利用多种教学媒介，如音频、视频、图片等，丰富教学形式，提高教学效果。</w:t>
      </w:r>
    </w:p>
    <w:p w14:paraId="3E2C2181">
      <w:pPr>
        <w:pStyle w:val="4"/>
        <w:ind w:firstLine="422"/>
      </w:pPr>
      <w:bookmarkStart w:id="63" w:name="_Toc212238069"/>
      <w:r>
        <w:rPr>
          <w:rFonts w:hint="eastAsia"/>
        </w:rPr>
        <w:t>2</w:t>
      </w:r>
      <w:r>
        <w:t>.</w:t>
      </w:r>
      <w:r>
        <w:rPr>
          <w:rFonts w:hint="eastAsia"/>
        </w:rPr>
        <w:t>教学模式：</w:t>
      </w:r>
      <w:bookmarkEnd w:id="63"/>
    </w:p>
    <w:p w14:paraId="33DCF635">
      <w:pPr>
        <w:ind w:firstLine="480"/>
      </w:pPr>
      <w:r>
        <w:rPr>
          <w:rFonts w:hint="eastAsia"/>
        </w:rPr>
        <w:t>（1）双师型教学模式：采用专业教师和行业专家双重指导的模式，使学生能够更好地接触和了解行业的发展和变化，从而更好地适应和融入行业。</w:t>
      </w:r>
    </w:p>
    <w:p w14:paraId="35C238D4">
      <w:pPr>
        <w:ind w:firstLine="480"/>
      </w:pPr>
      <w:r>
        <w:rPr>
          <w:rFonts w:hint="eastAsia"/>
        </w:rPr>
        <w:t>（2）实训实习型教学模式：将实践环节融入教学过程，通过校内实训、跟岗实习和顶岗实习等形式，让学生接触实际工作环境，培养实践操作能力和职业素养。</w:t>
      </w:r>
    </w:p>
    <w:p w14:paraId="4FD40C2E">
      <w:pPr>
        <w:ind w:firstLine="480"/>
      </w:pPr>
      <w:r>
        <w:rPr>
          <w:rFonts w:hint="eastAsia"/>
        </w:rPr>
        <w:t>（3）分层次教学模式：根据学生的不同水平和兴趣爱好，设置不同层次的教学内容和实践项目，让每个学生都能够找到适合自己的学习和实践方式，达到最优教学效果。</w:t>
      </w:r>
    </w:p>
    <w:p w14:paraId="3AEEFA13">
      <w:pPr>
        <w:ind w:firstLine="480"/>
      </w:pPr>
      <w:r>
        <w:rPr>
          <w:rFonts w:hint="eastAsia"/>
        </w:rPr>
        <w:t>通过以上的教学方法和模式，可以有效提高计算机平面设计专业学生的实践操作能力、创新能力和团队合作能力，更好地适应和融入行业发展需要，为学生的职业发展和个人素养提升奠定良好的基础</w:t>
      </w:r>
      <w:r>
        <w:t>。</w:t>
      </w:r>
      <w:bookmarkEnd w:id="62"/>
    </w:p>
    <w:p w14:paraId="0AECE8E9">
      <w:pPr>
        <w:pStyle w:val="2"/>
        <w:ind w:firstLine="720"/>
      </w:pPr>
      <w:bookmarkStart w:id="64" w:name="_Toc213423802"/>
      <w:bookmarkStart w:id="65" w:name="_Toc212238073"/>
      <w:bookmarkStart w:id="66" w:name="_Toc77417484"/>
      <w:r>
        <w:rPr>
          <w:rFonts w:hint="eastAsia"/>
        </w:rPr>
        <w:t>十一、质量保障和毕业要求</w:t>
      </w:r>
      <w:bookmarkEnd w:id="64"/>
      <w:bookmarkEnd w:id="65"/>
    </w:p>
    <w:p w14:paraId="0CAD0C6C">
      <w:pPr>
        <w:pStyle w:val="3"/>
        <w:ind w:firstLine="422"/>
      </w:pPr>
      <w:bookmarkStart w:id="67" w:name="_Toc212238074"/>
      <w:bookmarkStart w:id="68" w:name="_Toc213423803"/>
      <w:r>
        <w:rPr>
          <w:rFonts w:hint="eastAsia"/>
        </w:rPr>
        <w:t>（一）</w:t>
      </w:r>
      <w:r>
        <w:t>质量</w:t>
      </w:r>
      <w:bookmarkEnd w:id="66"/>
      <w:bookmarkEnd w:id="67"/>
      <w:r>
        <w:rPr>
          <w:rFonts w:hint="eastAsia"/>
        </w:rPr>
        <w:t>保障</w:t>
      </w:r>
      <w:bookmarkEnd w:id="68"/>
    </w:p>
    <w:p w14:paraId="223A8F22">
      <w:pPr>
        <w:ind w:firstLine="480"/>
      </w:pPr>
      <w:r>
        <w:rPr>
          <w:rFonts w:hint="eastAsia"/>
        </w:rPr>
        <w:t>（1）严格执行本方案，不得随意调整。有特殊情况需要调整，严格按程序办理。</w:t>
      </w:r>
    </w:p>
    <w:p w14:paraId="674FC500">
      <w:pPr>
        <w:ind w:firstLine="480"/>
      </w:pPr>
      <w:r>
        <w:rPr>
          <w:rFonts w:hint="eastAsia"/>
        </w:rPr>
        <w:t>（2）建立专业人才培养质量保障机制，健全专业教学质量监控管理制度，改进结果评价，强化过程评价，探索增值评价，吸纳行业组织、企业等参与评价，并及时公开相关信息，接受教育督导和社会监督，健全综合评价。定期完善人才培养方案、课程标准、课堂评价、实习实训、毕业设计以及资源建设等质量保障建设，通过教学实施、过程监控、质量评价和持续改进，达到人才培养规格要求。</w:t>
      </w:r>
    </w:p>
    <w:p w14:paraId="7255296D">
      <w:pPr>
        <w:ind w:firstLine="482"/>
        <w:jc w:val="center"/>
        <w:rPr>
          <w:rStyle w:val="44"/>
        </w:rPr>
      </w:pPr>
      <w:r>
        <w:rPr>
          <w:rStyle w:val="44"/>
          <w:rFonts w:hint="eastAsia"/>
        </w:rPr>
        <w:t>表1：教学成绩评价办法</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164"/>
        <w:gridCol w:w="874"/>
        <w:gridCol w:w="4222"/>
        <w:gridCol w:w="1393"/>
      </w:tblGrid>
      <w:tr w14:paraId="49EE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04A0E2BB">
            <w:pPr>
              <w:spacing w:line="240" w:lineRule="auto"/>
              <w:ind w:firstLine="0" w:firstLineChars="0"/>
              <w:jc w:val="center"/>
              <w:rPr>
                <w:rFonts w:asciiTheme="majorEastAsia" w:hAnsiTheme="majorEastAsia" w:eastAsiaTheme="majorEastAsia"/>
                <w:b/>
                <w:bCs/>
              </w:rPr>
            </w:pPr>
            <w:r>
              <w:rPr>
                <w:rFonts w:hint="eastAsia" w:asciiTheme="majorEastAsia" w:hAnsiTheme="majorEastAsia" w:eastAsiaTheme="majorEastAsia"/>
                <w:b/>
                <w:bCs/>
              </w:rPr>
              <w:t>项目</w:t>
            </w:r>
          </w:p>
        </w:tc>
        <w:tc>
          <w:tcPr>
            <w:tcW w:w="683" w:type="pct"/>
            <w:vAlign w:val="center"/>
          </w:tcPr>
          <w:p w14:paraId="3F63FC2A">
            <w:pPr>
              <w:spacing w:line="240" w:lineRule="auto"/>
              <w:ind w:firstLine="0" w:firstLineChars="0"/>
              <w:jc w:val="center"/>
              <w:rPr>
                <w:rFonts w:asciiTheme="majorEastAsia" w:hAnsiTheme="majorEastAsia" w:eastAsiaTheme="majorEastAsia"/>
                <w:b/>
                <w:bCs/>
              </w:rPr>
            </w:pPr>
            <w:r>
              <w:rPr>
                <w:rFonts w:asciiTheme="majorEastAsia" w:hAnsiTheme="majorEastAsia" w:eastAsiaTheme="majorEastAsia"/>
                <w:b/>
                <w:bCs/>
              </w:rPr>
              <w:t>考核类型</w:t>
            </w:r>
          </w:p>
        </w:tc>
        <w:tc>
          <w:tcPr>
            <w:tcW w:w="513" w:type="pct"/>
            <w:vAlign w:val="center"/>
          </w:tcPr>
          <w:p w14:paraId="051C440C">
            <w:pPr>
              <w:spacing w:line="240" w:lineRule="auto"/>
              <w:ind w:firstLine="0" w:firstLineChars="0"/>
              <w:jc w:val="center"/>
              <w:rPr>
                <w:rFonts w:asciiTheme="majorEastAsia" w:hAnsiTheme="majorEastAsia" w:eastAsiaTheme="majorEastAsia"/>
                <w:b/>
                <w:bCs/>
              </w:rPr>
            </w:pPr>
            <w:r>
              <w:rPr>
                <w:rFonts w:asciiTheme="majorEastAsia" w:hAnsiTheme="majorEastAsia" w:eastAsiaTheme="majorEastAsia"/>
                <w:b/>
                <w:bCs/>
              </w:rPr>
              <w:t>成绩构成</w:t>
            </w:r>
          </w:p>
        </w:tc>
        <w:tc>
          <w:tcPr>
            <w:tcW w:w="2477" w:type="pct"/>
            <w:vAlign w:val="center"/>
          </w:tcPr>
          <w:p w14:paraId="027683CB">
            <w:pPr>
              <w:spacing w:line="240" w:lineRule="auto"/>
              <w:ind w:firstLine="0" w:firstLineChars="0"/>
              <w:jc w:val="center"/>
              <w:rPr>
                <w:rFonts w:asciiTheme="majorEastAsia" w:hAnsiTheme="majorEastAsia" w:eastAsiaTheme="majorEastAsia"/>
                <w:b/>
                <w:bCs/>
              </w:rPr>
            </w:pPr>
            <w:r>
              <w:rPr>
                <w:rFonts w:asciiTheme="majorEastAsia" w:hAnsiTheme="majorEastAsia" w:eastAsiaTheme="majorEastAsia"/>
                <w:b/>
                <w:bCs/>
              </w:rPr>
              <w:t>考核方式与说明</w:t>
            </w:r>
          </w:p>
        </w:tc>
        <w:tc>
          <w:tcPr>
            <w:tcW w:w="817" w:type="pct"/>
            <w:vAlign w:val="center"/>
          </w:tcPr>
          <w:p w14:paraId="555210A1">
            <w:pPr>
              <w:spacing w:line="240" w:lineRule="auto"/>
              <w:ind w:firstLine="0" w:firstLineChars="0"/>
              <w:jc w:val="center"/>
              <w:rPr>
                <w:rFonts w:asciiTheme="majorEastAsia" w:hAnsiTheme="majorEastAsia" w:eastAsiaTheme="majorEastAsia"/>
                <w:b/>
                <w:bCs/>
              </w:rPr>
            </w:pPr>
            <w:r>
              <w:rPr>
                <w:rFonts w:asciiTheme="majorEastAsia" w:hAnsiTheme="majorEastAsia" w:eastAsiaTheme="majorEastAsia"/>
                <w:b/>
                <w:bCs/>
              </w:rPr>
              <w:t>成绩评定方式</w:t>
            </w:r>
          </w:p>
        </w:tc>
      </w:tr>
      <w:tr w14:paraId="401C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restart"/>
            <w:vAlign w:val="center"/>
          </w:tcPr>
          <w:p w14:paraId="2AEBA32A">
            <w:pPr>
              <w:spacing w:line="240" w:lineRule="auto"/>
              <w:ind w:firstLine="0" w:firstLineChars="0"/>
              <w:rPr>
                <w:rFonts w:asciiTheme="minorEastAsia" w:hAnsiTheme="minorEastAsia" w:eastAsiaTheme="minorEastAsia"/>
              </w:rPr>
            </w:pPr>
            <w:r>
              <w:rPr>
                <w:rFonts w:hint="eastAsia" w:asciiTheme="minorEastAsia" w:hAnsiTheme="minorEastAsia" w:eastAsiaTheme="minorEastAsia"/>
              </w:rPr>
              <w:t>1</w:t>
            </w:r>
          </w:p>
        </w:tc>
        <w:tc>
          <w:tcPr>
            <w:tcW w:w="683" w:type="pct"/>
            <w:vMerge w:val="restart"/>
            <w:vAlign w:val="center"/>
          </w:tcPr>
          <w:p w14:paraId="3D0436CD">
            <w:pPr>
              <w:spacing w:line="240" w:lineRule="auto"/>
              <w:ind w:firstLine="0" w:firstLineChars="0"/>
              <w:rPr>
                <w:rFonts w:asciiTheme="minorEastAsia" w:hAnsiTheme="minorEastAsia" w:eastAsiaTheme="minorEastAsia"/>
              </w:rPr>
            </w:pPr>
            <w:r>
              <w:rPr>
                <w:rFonts w:asciiTheme="minorEastAsia" w:hAnsiTheme="minorEastAsia" w:eastAsiaTheme="minorEastAsia"/>
              </w:rPr>
              <w:t>课程成绩总评</w:t>
            </w:r>
          </w:p>
        </w:tc>
        <w:tc>
          <w:tcPr>
            <w:tcW w:w="513" w:type="pct"/>
            <w:vAlign w:val="center"/>
          </w:tcPr>
          <w:p w14:paraId="7303E864">
            <w:pPr>
              <w:spacing w:line="240" w:lineRule="auto"/>
              <w:ind w:firstLine="0" w:firstLineChars="0"/>
              <w:rPr>
                <w:rFonts w:asciiTheme="minorEastAsia" w:hAnsiTheme="minorEastAsia" w:eastAsiaTheme="minorEastAsia"/>
              </w:rPr>
            </w:pPr>
            <w:r>
              <w:rPr>
                <w:rFonts w:asciiTheme="minorEastAsia" w:hAnsiTheme="minorEastAsia" w:eastAsiaTheme="minorEastAsia"/>
              </w:rPr>
              <w:t>过程性评价：50%</w:t>
            </w:r>
          </w:p>
        </w:tc>
        <w:tc>
          <w:tcPr>
            <w:tcW w:w="2477" w:type="pct"/>
            <w:vAlign w:val="center"/>
          </w:tcPr>
          <w:p w14:paraId="27BDF366">
            <w:pPr>
              <w:spacing w:line="240" w:lineRule="auto"/>
              <w:ind w:firstLine="0" w:firstLineChars="0"/>
              <w:rPr>
                <w:rFonts w:asciiTheme="minorEastAsia" w:hAnsiTheme="minorEastAsia" w:eastAsiaTheme="minorEastAsia"/>
              </w:rPr>
            </w:pPr>
            <w:r>
              <w:rPr>
                <w:rFonts w:asciiTheme="minorEastAsia" w:hAnsiTheme="minorEastAsia" w:eastAsiaTheme="minorEastAsia"/>
              </w:rPr>
              <w:t>可反映学习过程的指标，如：</w:t>
            </w:r>
            <w:r>
              <w:rPr>
                <w:rFonts w:asciiTheme="minorEastAsia" w:hAnsiTheme="minorEastAsia" w:eastAsiaTheme="minorEastAsia"/>
              </w:rPr>
              <w:br w:type="textWrapping"/>
            </w:r>
            <w:r>
              <w:rPr>
                <w:rFonts w:asciiTheme="minorEastAsia" w:hAnsiTheme="minorEastAsia" w:eastAsiaTheme="minorEastAsia"/>
              </w:rPr>
              <w:t>•平时表现（考勤、课堂笔记、课程参与度）</w:t>
            </w:r>
            <w:r>
              <w:rPr>
                <w:rFonts w:asciiTheme="minorEastAsia" w:hAnsiTheme="minorEastAsia" w:eastAsiaTheme="minorEastAsia"/>
              </w:rPr>
              <w:br w:type="textWrapping"/>
            </w:r>
            <w:r>
              <w:rPr>
                <w:rFonts w:asciiTheme="minorEastAsia" w:hAnsiTheme="minorEastAsia" w:eastAsiaTheme="minorEastAsia"/>
              </w:rPr>
              <w:t>•平时作业</w:t>
            </w:r>
            <w:r>
              <w:rPr>
                <w:rFonts w:asciiTheme="minorEastAsia" w:hAnsiTheme="minorEastAsia" w:eastAsiaTheme="minorEastAsia"/>
              </w:rPr>
              <w:br w:type="textWrapping"/>
            </w:r>
            <w:r>
              <w:rPr>
                <w:rFonts w:asciiTheme="minorEastAsia" w:hAnsiTheme="minorEastAsia" w:eastAsiaTheme="minorEastAsia"/>
              </w:rPr>
              <w:t>•阶段性测验/考核</w:t>
            </w:r>
            <w:r>
              <w:rPr>
                <w:rFonts w:asciiTheme="minorEastAsia" w:hAnsiTheme="minorEastAsia" w:eastAsiaTheme="minorEastAsia"/>
              </w:rPr>
              <w:br w:type="textWrapping"/>
            </w:r>
            <w:r>
              <w:rPr>
                <w:rFonts w:asciiTheme="minorEastAsia" w:hAnsiTheme="minorEastAsia" w:eastAsiaTheme="minorEastAsia"/>
              </w:rPr>
              <w:t>•竞赛、答辩、设计作品</w:t>
            </w:r>
            <w:r>
              <w:rPr>
                <w:rFonts w:asciiTheme="minorEastAsia" w:hAnsiTheme="minorEastAsia" w:eastAsiaTheme="minorEastAsia"/>
              </w:rPr>
              <w:br w:type="textWrapping"/>
            </w:r>
            <w:r>
              <w:rPr>
                <w:rFonts w:asciiTheme="minorEastAsia" w:hAnsiTheme="minorEastAsia" w:eastAsiaTheme="minorEastAsia"/>
              </w:rPr>
              <w:t>•编制报告、提交学习心得等</w:t>
            </w:r>
          </w:p>
        </w:tc>
        <w:tc>
          <w:tcPr>
            <w:tcW w:w="817" w:type="pct"/>
            <w:vMerge w:val="restart"/>
            <w:vAlign w:val="center"/>
          </w:tcPr>
          <w:p w14:paraId="0BA575FA">
            <w:pPr>
              <w:spacing w:line="240" w:lineRule="auto"/>
              <w:ind w:firstLine="0" w:firstLineChars="0"/>
              <w:rPr>
                <w:rFonts w:asciiTheme="minorEastAsia" w:hAnsiTheme="minorEastAsia" w:eastAsiaTheme="minorEastAsia"/>
              </w:rPr>
            </w:pPr>
            <w:r>
              <w:rPr>
                <w:rFonts w:asciiTheme="minorEastAsia" w:hAnsiTheme="minorEastAsia" w:eastAsiaTheme="minorEastAsia"/>
              </w:rPr>
              <w:t>按比例汇总后，根据课程类型转换为相应计分制</w:t>
            </w:r>
          </w:p>
        </w:tc>
      </w:tr>
      <w:tr w14:paraId="6602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2CD5CD3E">
            <w:pPr>
              <w:spacing w:line="240" w:lineRule="auto"/>
              <w:ind w:firstLine="0" w:firstLineChars="0"/>
              <w:rPr>
                <w:rFonts w:asciiTheme="minorEastAsia" w:hAnsiTheme="minorEastAsia" w:eastAsiaTheme="minorEastAsia"/>
              </w:rPr>
            </w:pPr>
          </w:p>
        </w:tc>
        <w:tc>
          <w:tcPr>
            <w:tcW w:w="683" w:type="pct"/>
            <w:vMerge w:val="continue"/>
            <w:vAlign w:val="center"/>
          </w:tcPr>
          <w:p w14:paraId="7902CD1E">
            <w:pPr>
              <w:spacing w:line="240" w:lineRule="auto"/>
              <w:ind w:firstLine="0" w:firstLineChars="0"/>
              <w:rPr>
                <w:rFonts w:asciiTheme="minorEastAsia" w:hAnsiTheme="minorEastAsia" w:eastAsiaTheme="minorEastAsia"/>
              </w:rPr>
            </w:pPr>
          </w:p>
        </w:tc>
        <w:tc>
          <w:tcPr>
            <w:tcW w:w="513" w:type="pct"/>
            <w:vAlign w:val="center"/>
          </w:tcPr>
          <w:p w14:paraId="0DE06401">
            <w:pPr>
              <w:spacing w:line="240" w:lineRule="auto"/>
              <w:ind w:firstLine="0" w:firstLineChars="0"/>
              <w:rPr>
                <w:rFonts w:asciiTheme="minorEastAsia" w:hAnsiTheme="minorEastAsia" w:eastAsiaTheme="minorEastAsia"/>
              </w:rPr>
            </w:pPr>
            <w:r>
              <w:rPr>
                <w:rFonts w:asciiTheme="minorEastAsia" w:hAnsiTheme="minorEastAsia" w:eastAsiaTheme="minorEastAsia"/>
              </w:rPr>
              <w:t>终结性评价：50%</w:t>
            </w:r>
          </w:p>
        </w:tc>
        <w:tc>
          <w:tcPr>
            <w:tcW w:w="2477" w:type="pct"/>
            <w:vAlign w:val="center"/>
          </w:tcPr>
          <w:p w14:paraId="0B9DF9A2">
            <w:pPr>
              <w:spacing w:line="240" w:lineRule="auto"/>
              <w:ind w:firstLine="0" w:firstLineChars="0"/>
              <w:rPr>
                <w:rFonts w:asciiTheme="minorEastAsia" w:hAnsiTheme="minorEastAsia" w:eastAsiaTheme="minorEastAsia"/>
              </w:rPr>
            </w:pPr>
            <w:r>
              <w:rPr>
                <w:rFonts w:asciiTheme="minorEastAsia" w:hAnsiTheme="minorEastAsia" w:eastAsiaTheme="minorEastAsia"/>
              </w:rPr>
              <w:t>可采用以下一种或多种组合形式：</w:t>
            </w:r>
            <w:r>
              <w:rPr>
                <w:rFonts w:asciiTheme="minorEastAsia" w:hAnsiTheme="minorEastAsia" w:eastAsiaTheme="minorEastAsia"/>
              </w:rPr>
              <w:br w:type="textWrapping"/>
            </w:r>
            <w:r>
              <w:rPr>
                <w:rFonts w:asciiTheme="minorEastAsia" w:hAnsiTheme="minorEastAsia" w:eastAsiaTheme="minorEastAsia"/>
              </w:rPr>
              <w:t>•闭卷考试</w:t>
            </w:r>
            <w:r>
              <w:rPr>
                <w:rFonts w:asciiTheme="minorEastAsia" w:hAnsiTheme="minorEastAsia" w:eastAsiaTheme="minorEastAsia"/>
              </w:rPr>
              <w:br w:type="textWrapping"/>
            </w:r>
            <w:r>
              <w:rPr>
                <w:rFonts w:asciiTheme="minorEastAsia" w:hAnsiTheme="minorEastAsia" w:eastAsiaTheme="minorEastAsia"/>
              </w:rPr>
              <w:t>•开卷考试</w:t>
            </w:r>
            <w:r>
              <w:rPr>
                <w:rFonts w:asciiTheme="minorEastAsia" w:hAnsiTheme="minorEastAsia" w:eastAsiaTheme="minorEastAsia"/>
              </w:rPr>
              <w:br w:type="textWrapping"/>
            </w:r>
            <w:r>
              <w:rPr>
                <w:rFonts w:asciiTheme="minorEastAsia" w:hAnsiTheme="minorEastAsia" w:eastAsiaTheme="minorEastAsia"/>
              </w:rPr>
              <w:t>•技能操作考核</w:t>
            </w:r>
          </w:p>
        </w:tc>
        <w:tc>
          <w:tcPr>
            <w:tcW w:w="817" w:type="pct"/>
            <w:vMerge w:val="continue"/>
            <w:vAlign w:val="center"/>
          </w:tcPr>
          <w:p w14:paraId="6CCFA5AB">
            <w:pPr>
              <w:spacing w:line="240" w:lineRule="auto"/>
              <w:ind w:firstLine="0" w:firstLineChars="0"/>
              <w:rPr>
                <w:rFonts w:asciiTheme="minorEastAsia" w:hAnsiTheme="minorEastAsia" w:eastAsiaTheme="minorEastAsia"/>
              </w:rPr>
            </w:pPr>
          </w:p>
        </w:tc>
      </w:tr>
      <w:tr w14:paraId="2BD9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2D61DB2A">
            <w:pPr>
              <w:spacing w:line="240" w:lineRule="auto"/>
              <w:ind w:firstLine="0" w:firstLineChars="0"/>
              <w:rPr>
                <w:rFonts w:asciiTheme="minorEastAsia" w:hAnsiTheme="minorEastAsia" w:eastAsiaTheme="minorEastAsia"/>
              </w:rPr>
            </w:pPr>
            <w:r>
              <w:rPr>
                <w:rFonts w:hint="eastAsia" w:asciiTheme="minorEastAsia" w:hAnsiTheme="minorEastAsia" w:eastAsiaTheme="minorEastAsia"/>
              </w:rPr>
              <w:t>2</w:t>
            </w:r>
          </w:p>
        </w:tc>
        <w:tc>
          <w:tcPr>
            <w:tcW w:w="683" w:type="pct"/>
            <w:vAlign w:val="center"/>
          </w:tcPr>
          <w:p w14:paraId="71AB802B">
            <w:pPr>
              <w:spacing w:line="240" w:lineRule="auto"/>
              <w:ind w:firstLine="0" w:firstLineChars="0"/>
              <w:rPr>
                <w:rFonts w:asciiTheme="minorEastAsia" w:hAnsiTheme="minorEastAsia" w:eastAsiaTheme="minorEastAsia"/>
              </w:rPr>
            </w:pPr>
            <w:r>
              <w:rPr>
                <w:rFonts w:hint="eastAsia" w:asciiTheme="minorEastAsia" w:hAnsiTheme="minorEastAsia" w:eastAsiaTheme="minorEastAsia"/>
              </w:rPr>
              <w:t>考试课程</w:t>
            </w:r>
          </w:p>
        </w:tc>
        <w:tc>
          <w:tcPr>
            <w:tcW w:w="513" w:type="pct"/>
            <w:vAlign w:val="center"/>
          </w:tcPr>
          <w:p w14:paraId="3C5A3E32">
            <w:pPr>
              <w:spacing w:line="240" w:lineRule="auto"/>
              <w:ind w:firstLine="0" w:firstLineChars="0"/>
              <w:rPr>
                <w:rFonts w:asciiTheme="minorEastAsia" w:hAnsiTheme="minorEastAsia" w:eastAsiaTheme="minorEastAsia"/>
              </w:rPr>
            </w:pPr>
            <w:r>
              <w:rPr>
                <w:rFonts w:hint="eastAsia" w:asciiTheme="minorEastAsia" w:hAnsiTheme="minorEastAsia" w:eastAsiaTheme="minorEastAsia"/>
              </w:rPr>
              <w:t>百分制</w:t>
            </w:r>
          </w:p>
        </w:tc>
        <w:tc>
          <w:tcPr>
            <w:tcW w:w="2477" w:type="pct"/>
            <w:vAlign w:val="center"/>
          </w:tcPr>
          <w:p w14:paraId="4E7BE6C7">
            <w:pPr>
              <w:spacing w:line="240" w:lineRule="auto"/>
              <w:ind w:firstLine="0" w:firstLineChars="0"/>
              <w:rPr>
                <w:rFonts w:asciiTheme="minorEastAsia" w:hAnsiTheme="minorEastAsia" w:eastAsiaTheme="minorEastAsia"/>
              </w:rPr>
            </w:pPr>
            <w:r>
              <w:rPr>
                <w:rFonts w:asciiTheme="minorEastAsia" w:hAnsiTheme="minorEastAsia" w:eastAsiaTheme="minorEastAsia"/>
              </w:rPr>
              <w:t>按上述比例核算后，采用百分制记录。</w:t>
            </w:r>
          </w:p>
        </w:tc>
        <w:tc>
          <w:tcPr>
            <w:tcW w:w="817" w:type="pct"/>
            <w:vAlign w:val="center"/>
          </w:tcPr>
          <w:p w14:paraId="1B3C15C0">
            <w:pPr>
              <w:spacing w:line="240" w:lineRule="auto"/>
              <w:ind w:firstLine="0" w:firstLineChars="0"/>
              <w:rPr>
                <w:rFonts w:asciiTheme="minorEastAsia" w:hAnsiTheme="minorEastAsia" w:eastAsiaTheme="minorEastAsia"/>
              </w:rPr>
            </w:pPr>
            <w:r>
              <w:rPr>
                <w:rFonts w:asciiTheme="minorEastAsia" w:hAnsiTheme="minorEastAsia" w:eastAsiaTheme="minorEastAsia"/>
              </w:rPr>
              <w:t>60分为及格，100分为满分。</w:t>
            </w:r>
          </w:p>
        </w:tc>
      </w:tr>
      <w:tr w14:paraId="314C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093BC1C9">
            <w:pPr>
              <w:spacing w:line="240" w:lineRule="auto"/>
              <w:ind w:firstLine="0" w:firstLineChars="0"/>
              <w:rPr>
                <w:rFonts w:asciiTheme="minorEastAsia" w:hAnsiTheme="minorEastAsia" w:eastAsiaTheme="minorEastAsia"/>
              </w:rPr>
            </w:pPr>
            <w:r>
              <w:rPr>
                <w:rFonts w:hint="eastAsia" w:asciiTheme="minorEastAsia" w:hAnsiTheme="minorEastAsia" w:eastAsiaTheme="minorEastAsia"/>
              </w:rPr>
              <w:t>3</w:t>
            </w:r>
          </w:p>
        </w:tc>
        <w:tc>
          <w:tcPr>
            <w:tcW w:w="683" w:type="pct"/>
            <w:vAlign w:val="center"/>
          </w:tcPr>
          <w:p w14:paraId="462FA1B0">
            <w:pPr>
              <w:spacing w:line="240" w:lineRule="auto"/>
              <w:ind w:firstLine="0" w:firstLineChars="0"/>
              <w:rPr>
                <w:rFonts w:asciiTheme="minorEastAsia" w:hAnsiTheme="minorEastAsia" w:eastAsiaTheme="minorEastAsia"/>
              </w:rPr>
            </w:pPr>
            <w:r>
              <w:rPr>
                <w:rFonts w:hint="eastAsia" w:asciiTheme="minorEastAsia" w:hAnsiTheme="minorEastAsia" w:eastAsiaTheme="minorEastAsia"/>
              </w:rPr>
              <w:t>考察课程</w:t>
            </w:r>
          </w:p>
        </w:tc>
        <w:tc>
          <w:tcPr>
            <w:tcW w:w="513" w:type="pct"/>
            <w:vAlign w:val="center"/>
          </w:tcPr>
          <w:p w14:paraId="4E9B90E0">
            <w:pPr>
              <w:spacing w:line="240" w:lineRule="auto"/>
              <w:ind w:firstLine="0" w:firstLineChars="0"/>
              <w:rPr>
                <w:rFonts w:asciiTheme="minorEastAsia" w:hAnsiTheme="minorEastAsia" w:eastAsiaTheme="minorEastAsia"/>
              </w:rPr>
            </w:pPr>
            <w:r>
              <w:rPr>
                <w:rFonts w:hint="eastAsia" w:asciiTheme="minorEastAsia" w:hAnsiTheme="minorEastAsia" w:eastAsiaTheme="minorEastAsia"/>
              </w:rPr>
              <w:t>五级评价制度</w:t>
            </w:r>
          </w:p>
        </w:tc>
        <w:tc>
          <w:tcPr>
            <w:tcW w:w="2477" w:type="pct"/>
            <w:vAlign w:val="center"/>
          </w:tcPr>
          <w:p w14:paraId="72670D4B">
            <w:pPr>
              <w:spacing w:line="240" w:lineRule="auto"/>
              <w:ind w:firstLine="0" w:firstLineChars="0"/>
              <w:rPr>
                <w:rFonts w:asciiTheme="minorEastAsia" w:hAnsiTheme="minorEastAsia" w:eastAsiaTheme="minorEastAsia"/>
              </w:rPr>
            </w:pPr>
            <w:r>
              <w:rPr>
                <w:rFonts w:asciiTheme="minorEastAsia" w:hAnsiTheme="minorEastAsia" w:eastAsiaTheme="minorEastAsia"/>
              </w:rPr>
              <w:t>按上述比例核算后，采用五级制记录。</w:t>
            </w:r>
          </w:p>
        </w:tc>
        <w:tc>
          <w:tcPr>
            <w:tcW w:w="817" w:type="pct"/>
            <w:vAlign w:val="center"/>
          </w:tcPr>
          <w:p w14:paraId="6D028496">
            <w:pPr>
              <w:spacing w:line="240" w:lineRule="auto"/>
              <w:ind w:firstLine="0" w:firstLineChars="0"/>
              <w:rPr>
                <w:rFonts w:asciiTheme="minorEastAsia" w:hAnsiTheme="minorEastAsia" w:eastAsiaTheme="minorEastAsia"/>
              </w:rPr>
            </w:pPr>
            <w:r>
              <w:rPr>
                <w:rFonts w:asciiTheme="minorEastAsia" w:hAnsiTheme="minorEastAsia" w:eastAsiaTheme="minorEastAsia"/>
              </w:rPr>
              <w:t>优、良、中、及格、不及格</w:t>
            </w:r>
          </w:p>
        </w:tc>
      </w:tr>
    </w:tbl>
    <w:p w14:paraId="26C23F7E">
      <w:pPr>
        <w:ind w:firstLine="482"/>
        <w:jc w:val="center"/>
        <w:rPr>
          <w:rStyle w:val="44"/>
        </w:rPr>
      </w:pPr>
      <w:r>
        <w:rPr>
          <w:rStyle w:val="44"/>
          <w:rFonts w:hint="eastAsia"/>
        </w:rPr>
        <w:t>表2</w:t>
      </w:r>
      <w:r>
        <w:rPr>
          <w:rStyle w:val="44"/>
        </w:rPr>
        <w:t>：实践、实训课程综合</w:t>
      </w:r>
      <w:r>
        <w:rPr>
          <w:rStyle w:val="44"/>
          <w:rFonts w:hint="eastAsia"/>
        </w:rPr>
        <w:t>评价体系</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798"/>
        <w:gridCol w:w="2717"/>
        <w:gridCol w:w="4210"/>
      </w:tblGrid>
      <w:tr w14:paraId="478B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Align w:val="center"/>
          </w:tcPr>
          <w:p w14:paraId="71B8D25D">
            <w:pPr>
              <w:widowControl/>
              <w:adjustRightInd/>
              <w:snapToGrid/>
              <w:spacing w:line="240" w:lineRule="auto"/>
              <w:ind w:firstLine="0" w:firstLineChars="0"/>
              <w:jc w:val="center"/>
              <w:rPr>
                <w:rFonts w:cs="Segoe UI" w:asciiTheme="majorEastAsia" w:hAnsiTheme="majorEastAsia" w:eastAsiaTheme="majorEastAsia"/>
                <w:b/>
                <w:bCs/>
                <w:kern w:val="0"/>
                <w:sz w:val="22"/>
                <w:szCs w:val="22"/>
              </w:rPr>
            </w:pPr>
            <w:r>
              <w:rPr>
                <w:rFonts w:cs="Segoe UI" w:asciiTheme="majorEastAsia" w:hAnsiTheme="majorEastAsia" w:eastAsiaTheme="majorEastAsia"/>
                <w:b/>
                <w:bCs/>
                <w:kern w:val="0"/>
                <w:sz w:val="22"/>
                <w:szCs w:val="22"/>
              </w:rPr>
              <w:t>评价项目</w:t>
            </w:r>
          </w:p>
        </w:tc>
        <w:tc>
          <w:tcPr>
            <w:tcW w:w="468" w:type="pct"/>
            <w:vAlign w:val="center"/>
          </w:tcPr>
          <w:p w14:paraId="71A2FC22">
            <w:pPr>
              <w:widowControl/>
              <w:adjustRightInd/>
              <w:snapToGrid/>
              <w:spacing w:line="240" w:lineRule="auto"/>
              <w:ind w:firstLine="0" w:firstLineChars="0"/>
              <w:jc w:val="center"/>
              <w:rPr>
                <w:rFonts w:cs="Segoe UI" w:asciiTheme="majorEastAsia" w:hAnsiTheme="majorEastAsia" w:eastAsiaTheme="majorEastAsia"/>
                <w:b/>
                <w:bCs/>
                <w:kern w:val="0"/>
                <w:sz w:val="22"/>
                <w:szCs w:val="22"/>
              </w:rPr>
            </w:pPr>
            <w:r>
              <w:rPr>
                <w:rFonts w:cs="Segoe UI" w:asciiTheme="majorEastAsia" w:hAnsiTheme="majorEastAsia" w:eastAsiaTheme="majorEastAsia"/>
                <w:b/>
                <w:bCs/>
                <w:kern w:val="0"/>
                <w:sz w:val="22"/>
                <w:szCs w:val="22"/>
              </w:rPr>
              <w:t>分值</w:t>
            </w:r>
          </w:p>
        </w:tc>
        <w:tc>
          <w:tcPr>
            <w:tcW w:w="1594" w:type="pct"/>
            <w:vAlign w:val="center"/>
          </w:tcPr>
          <w:p w14:paraId="21CD0463">
            <w:pPr>
              <w:widowControl/>
              <w:adjustRightInd/>
              <w:snapToGrid/>
              <w:spacing w:line="240" w:lineRule="auto"/>
              <w:ind w:firstLine="221" w:firstLineChars="100"/>
              <w:jc w:val="center"/>
              <w:rPr>
                <w:rFonts w:cs="Segoe UI" w:asciiTheme="majorEastAsia" w:hAnsiTheme="majorEastAsia" w:eastAsiaTheme="majorEastAsia"/>
                <w:b/>
                <w:bCs/>
                <w:kern w:val="0"/>
                <w:sz w:val="22"/>
                <w:szCs w:val="22"/>
              </w:rPr>
            </w:pPr>
            <w:r>
              <w:rPr>
                <w:rFonts w:cs="Segoe UI" w:asciiTheme="majorEastAsia" w:hAnsiTheme="majorEastAsia" w:eastAsiaTheme="majorEastAsia"/>
                <w:b/>
                <w:bCs/>
                <w:kern w:val="0"/>
                <w:sz w:val="22"/>
                <w:szCs w:val="22"/>
              </w:rPr>
              <w:t>评价要点</w:t>
            </w:r>
          </w:p>
        </w:tc>
        <w:tc>
          <w:tcPr>
            <w:tcW w:w="2470" w:type="pct"/>
            <w:vAlign w:val="center"/>
          </w:tcPr>
          <w:p w14:paraId="10A1CD00">
            <w:pPr>
              <w:widowControl/>
              <w:adjustRightInd/>
              <w:snapToGrid/>
              <w:spacing w:line="240" w:lineRule="auto"/>
              <w:ind w:firstLine="221" w:firstLineChars="100"/>
              <w:jc w:val="center"/>
              <w:rPr>
                <w:rFonts w:cs="Segoe UI" w:asciiTheme="majorEastAsia" w:hAnsiTheme="majorEastAsia" w:eastAsiaTheme="majorEastAsia"/>
                <w:b/>
                <w:bCs/>
                <w:kern w:val="0"/>
                <w:sz w:val="22"/>
                <w:szCs w:val="22"/>
              </w:rPr>
            </w:pPr>
            <w:r>
              <w:rPr>
                <w:rFonts w:cs="Segoe UI" w:asciiTheme="majorEastAsia" w:hAnsiTheme="majorEastAsia" w:eastAsiaTheme="majorEastAsia"/>
                <w:b/>
                <w:bCs/>
                <w:kern w:val="0"/>
                <w:sz w:val="22"/>
                <w:szCs w:val="22"/>
              </w:rPr>
              <w:t>评价方式与具体说明</w:t>
            </w:r>
          </w:p>
        </w:tc>
      </w:tr>
      <w:tr w14:paraId="3CD0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68" w:type="pct"/>
            <w:vAlign w:val="center"/>
          </w:tcPr>
          <w:p w14:paraId="1B446023">
            <w:pPr>
              <w:widowControl/>
              <w:adjustRightInd/>
              <w:snapToGrid/>
              <w:spacing w:line="240" w:lineRule="auto"/>
              <w:ind w:firstLine="0" w:firstLineChars="0"/>
              <w:rPr>
                <w:rFonts w:cs="Segoe UI" w:asciiTheme="minorEastAsia" w:hAnsiTheme="minorEastAsia" w:eastAsiaTheme="minorEastAsia"/>
                <w:kern w:val="0"/>
              </w:rPr>
            </w:pPr>
            <w:r>
              <w:rPr>
                <w:rFonts w:cs="Segoe UI" w:asciiTheme="minorEastAsia" w:hAnsiTheme="minorEastAsia" w:eastAsiaTheme="minorEastAsia"/>
                <w:kern w:val="0"/>
              </w:rPr>
              <w:t>实践/实训表现</w:t>
            </w:r>
          </w:p>
        </w:tc>
        <w:tc>
          <w:tcPr>
            <w:tcW w:w="468" w:type="pct"/>
            <w:vAlign w:val="center"/>
          </w:tcPr>
          <w:p w14:paraId="6EB5C3DF">
            <w:pPr>
              <w:widowControl/>
              <w:adjustRightInd/>
              <w:snapToGrid/>
              <w:spacing w:line="240" w:lineRule="auto"/>
              <w:ind w:firstLine="0" w:firstLineChars="0"/>
              <w:rPr>
                <w:rFonts w:cs="Segoe UI" w:asciiTheme="minorEastAsia" w:hAnsiTheme="minorEastAsia" w:eastAsiaTheme="minorEastAsia"/>
                <w:kern w:val="0"/>
              </w:rPr>
            </w:pPr>
            <w:r>
              <w:rPr>
                <w:rFonts w:cs="Segoe UI" w:asciiTheme="minorEastAsia" w:hAnsiTheme="minorEastAsia" w:eastAsiaTheme="minorEastAsia"/>
                <w:kern w:val="0"/>
              </w:rPr>
              <w:t>30分</w:t>
            </w:r>
          </w:p>
        </w:tc>
        <w:tc>
          <w:tcPr>
            <w:tcW w:w="1594" w:type="pct"/>
            <w:vAlign w:val="center"/>
          </w:tcPr>
          <w:p w14:paraId="178F0331">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主要考察学生的综合职业素养与日常行为规范。</w:t>
            </w:r>
          </w:p>
        </w:tc>
        <w:tc>
          <w:tcPr>
            <w:tcW w:w="2470" w:type="pct"/>
            <w:vAlign w:val="center"/>
          </w:tcPr>
          <w:p w14:paraId="5BD81007">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评价内容：考勤、劳动纪律、服从管理、实训投入度、爱护公物、实训日记/工作日志的完成情况、获取职业技能资格证书等。</w:t>
            </w:r>
          </w:p>
        </w:tc>
      </w:tr>
      <w:tr w14:paraId="0705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Align w:val="center"/>
          </w:tcPr>
          <w:p w14:paraId="21F69D68">
            <w:pPr>
              <w:widowControl/>
              <w:adjustRightInd/>
              <w:snapToGrid/>
              <w:spacing w:line="240" w:lineRule="auto"/>
              <w:ind w:firstLine="0" w:firstLineChars="0"/>
              <w:rPr>
                <w:rFonts w:cs="Segoe UI" w:asciiTheme="minorEastAsia" w:hAnsiTheme="minorEastAsia" w:eastAsiaTheme="minorEastAsia"/>
                <w:kern w:val="0"/>
              </w:rPr>
            </w:pPr>
            <w:r>
              <w:rPr>
                <w:rFonts w:cs="Segoe UI" w:asciiTheme="minorEastAsia" w:hAnsiTheme="minorEastAsia" w:eastAsiaTheme="minorEastAsia"/>
                <w:kern w:val="0"/>
              </w:rPr>
              <w:t>实训报告</w:t>
            </w:r>
          </w:p>
        </w:tc>
        <w:tc>
          <w:tcPr>
            <w:tcW w:w="468" w:type="pct"/>
            <w:vAlign w:val="center"/>
          </w:tcPr>
          <w:p w14:paraId="79124A07">
            <w:pPr>
              <w:widowControl/>
              <w:adjustRightInd/>
              <w:snapToGrid/>
              <w:spacing w:line="240" w:lineRule="auto"/>
              <w:ind w:firstLine="0" w:firstLineChars="0"/>
              <w:rPr>
                <w:rFonts w:cs="Segoe UI" w:asciiTheme="minorEastAsia" w:hAnsiTheme="minorEastAsia" w:eastAsiaTheme="minorEastAsia"/>
                <w:kern w:val="0"/>
              </w:rPr>
            </w:pPr>
            <w:r>
              <w:rPr>
                <w:rFonts w:cs="Segoe UI" w:asciiTheme="minorEastAsia" w:hAnsiTheme="minorEastAsia" w:eastAsiaTheme="minorEastAsia"/>
                <w:kern w:val="0"/>
              </w:rPr>
              <w:t>10分</w:t>
            </w:r>
          </w:p>
        </w:tc>
        <w:tc>
          <w:tcPr>
            <w:tcW w:w="1594" w:type="pct"/>
            <w:vAlign w:val="center"/>
          </w:tcPr>
          <w:p w14:paraId="2571B9FF">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主要评估学生的总结反思与书面表达能力。</w:t>
            </w:r>
          </w:p>
        </w:tc>
        <w:tc>
          <w:tcPr>
            <w:tcW w:w="2470" w:type="pct"/>
            <w:vAlign w:val="center"/>
          </w:tcPr>
          <w:p w14:paraId="5A61EAC5">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评价内容：课程结束后提交的实训报告、实习总结等书面材料的质量。</w:t>
            </w:r>
          </w:p>
        </w:tc>
      </w:tr>
      <w:tr w14:paraId="0D3D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8" w:type="pct"/>
            <w:vMerge w:val="restart"/>
            <w:vAlign w:val="center"/>
          </w:tcPr>
          <w:p w14:paraId="3F2B2646">
            <w:pPr>
              <w:widowControl/>
              <w:adjustRightInd/>
              <w:snapToGrid/>
              <w:spacing w:line="240" w:lineRule="auto"/>
              <w:ind w:firstLine="0" w:firstLineChars="0"/>
              <w:rPr>
                <w:rFonts w:cs="Segoe UI" w:asciiTheme="minorEastAsia" w:hAnsiTheme="minorEastAsia" w:eastAsiaTheme="minorEastAsia"/>
                <w:kern w:val="0"/>
              </w:rPr>
            </w:pPr>
            <w:r>
              <w:rPr>
                <w:rFonts w:cs="Segoe UI" w:asciiTheme="minorEastAsia" w:hAnsiTheme="minorEastAsia" w:eastAsiaTheme="minorEastAsia"/>
                <w:kern w:val="0"/>
              </w:rPr>
              <w:t>实训考核</w:t>
            </w:r>
          </w:p>
        </w:tc>
        <w:tc>
          <w:tcPr>
            <w:tcW w:w="468" w:type="pct"/>
            <w:vMerge w:val="restart"/>
            <w:vAlign w:val="center"/>
          </w:tcPr>
          <w:p w14:paraId="76EC2F24">
            <w:pPr>
              <w:widowControl/>
              <w:adjustRightInd/>
              <w:snapToGrid/>
              <w:spacing w:line="240" w:lineRule="auto"/>
              <w:ind w:firstLine="0" w:firstLineChars="0"/>
              <w:rPr>
                <w:rFonts w:cs="Segoe UI" w:asciiTheme="minorEastAsia" w:hAnsiTheme="minorEastAsia" w:eastAsiaTheme="minorEastAsia"/>
                <w:kern w:val="0"/>
              </w:rPr>
            </w:pPr>
            <w:r>
              <w:rPr>
                <w:rFonts w:cs="Segoe UI" w:asciiTheme="minorEastAsia" w:hAnsiTheme="minorEastAsia" w:eastAsiaTheme="minorEastAsia"/>
                <w:kern w:val="0"/>
              </w:rPr>
              <w:t>60分</w:t>
            </w:r>
          </w:p>
        </w:tc>
        <w:tc>
          <w:tcPr>
            <w:tcW w:w="1594" w:type="pct"/>
            <w:vMerge w:val="restart"/>
            <w:vAlign w:val="center"/>
          </w:tcPr>
          <w:p w14:paraId="4F3BA8A4">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主要考核技能熟练度、知识掌握情况及最终工作成果的质量。</w:t>
            </w:r>
          </w:p>
        </w:tc>
        <w:tc>
          <w:tcPr>
            <w:tcW w:w="2470" w:type="pct"/>
            <w:vAlign w:val="center"/>
          </w:tcPr>
          <w:p w14:paraId="4A4B79D2">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评价内容：</w:t>
            </w:r>
          </w:p>
        </w:tc>
      </w:tr>
      <w:tr w14:paraId="5F11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Merge w:val="continue"/>
            <w:vAlign w:val="center"/>
          </w:tcPr>
          <w:p w14:paraId="4A68609E">
            <w:pPr>
              <w:widowControl/>
              <w:adjustRightInd/>
              <w:snapToGrid/>
              <w:spacing w:line="240" w:lineRule="auto"/>
              <w:ind w:firstLine="0" w:firstLineChars="0"/>
              <w:rPr>
                <w:rFonts w:cs="Segoe UI" w:asciiTheme="minorEastAsia" w:hAnsiTheme="minorEastAsia" w:eastAsiaTheme="minorEastAsia"/>
                <w:kern w:val="0"/>
              </w:rPr>
            </w:pPr>
          </w:p>
        </w:tc>
        <w:tc>
          <w:tcPr>
            <w:tcW w:w="468" w:type="pct"/>
            <w:vMerge w:val="continue"/>
            <w:vAlign w:val="center"/>
          </w:tcPr>
          <w:p w14:paraId="15017505">
            <w:pPr>
              <w:widowControl/>
              <w:adjustRightInd/>
              <w:snapToGrid/>
              <w:spacing w:line="240" w:lineRule="auto"/>
              <w:ind w:firstLine="0" w:firstLineChars="0"/>
              <w:rPr>
                <w:rFonts w:cs="Segoe UI" w:asciiTheme="minorEastAsia" w:hAnsiTheme="minorEastAsia" w:eastAsiaTheme="minorEastAsia"/>
                <w:kern w:val="0"/>
              </w:rPr>
            </w:pPr>
          </w:p>
        </w:tc>
        <w:tc>
          <w:tcPr>
            <w:tcW w:w="1594" w:type="pct"/>
            <w:vMerge w:val="continue"/>
            <w:vAlign w:val="center"/>
          </w:tcPr>
          <w:p w14:paraId="415494A3">
            <w:pPr>
              <w:widowControl/>
              <w:adjustRightInd/>
              <w:snapToGrid/>
              <w:spacing w:line="240" w:lineRule="auto"/>
              <w:ind w:firstLine="0" w:firstLineChars="0"/>
              <w:rPr>
                <w:rFonts w:cs="Segoe UI" w:asciiTheme="minorEastAsia" w:hAnsiTheme="minorEastAsia" w:eastAsiaTheme="minorEastAsia"/>
                <w:kern w:val="0"/>
              </w:rPr>
            </w:pPr>
          </w:p>
        </w:tc>
        <w:tc>
          <w:tcPr>
            <w:tcW w:w="2470" w:type="pct"/>
            <w:vAlign w:val="center"/>
          </w:tcPr>
          <w:p w14:paraId="4358362D">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1.技能与知识：对专业技能的熟练应用程度及对基础知识的掌握。</w:t>
            </w:r>
          </w:p>
        </w:tc>
      </w:tr>
      <w:tr w14:paraId="652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8" w:type="pct"/>
            <w:vMerge w:val="continue"/>
            <w:vAlign w:val="center"/>
          </w:tcPr>
          <w:p w14:paraId="37805E55">
            <w:pPr>
              <w:widowControl/>
              <w:adjustRightInd/>
              <w:snapToGrid/>
              <w:spacing w:line="240" w:lineRule="auto"/>
              <w:ind w:firstLine="0" w:firstLineChars="0"/>
              <w:rPr>
                <w:rFonts w:cs="Segoe UI" w:asciiTheme="minorEastAsia" w:hAnsiTheme="minorEastAsia" w:eastAsiaTheme="minorEastAsia"/>
                <w:kern w:val="0"/>
              </w:rPr>
            </w:pPr>
          </w:p>
        </w:tc>
        <w:tc>
          <w:tcPr>
            <w:tcW w:w="468" w:type="pct"/>
            <w:vMerge w:val="continue"/>
            <w:vAlign w:val="center"/>
          </w:tcPr>
          <w:p w14:paraId="4E173F54">
            <w:pPr>
              <w:widowControl/>
              <w:adjustRightInd/>
              <w:snapToGrid/>
              <w:spacing w:line="240" w:lineRule="auto"/>
              <w:ind w:firstLine="0" w:firstLineChars="0"/>
              <w:rPr>
                <w:rFonts w:cs="Segoe UI" w:asciiTheme="minorEastAsia" w:hAnsiTheme="minorEastAsia" w:eastAsiaTheme="minorEastAsia"/>
                <w:kern w:val="0"/>
              </w:rPr>
            </w:pPr>
          </w:p>
        </w:tc>
        <w:tc>
          <w:tcPr>
            <w:tcW w:w="1594" w:type="pct"/>
            <w:vMerge w:val="continue"/>
            <w:vAlign w:val="center"/>
          </w:tcPr>
          <w:p w14:paraId="582BD0B5">
            <w:pPr>
              <w:widowControl/>
              <w:adjustRightInd/>
              <w:snapToGrid/>
              <w:spacing w:line="240" w:lineRule="auto"/>
              <w:ind w:firstLine="0" w:firstLineChars="0"/>
              <w:rPr>
                <w:rFonts w:cs="Segoe UI" w:asciiTheme="minorEastAsia" w:hAnsiTheme="minorEastAsia" w:eastAsiaTheme="minorEastAsia"/>
                <w:kern w:val="0"/>
              </w:rPr>
            </w:pPr>
          </w:p>
        </w:tc>
        <w:tc>
          <w:tcPr>
            <w:tcW w:w="2470" w:type="pct"/>
            <w:vAlign w:val="center"/>
          </w:tcPr>
          <w:p w14:paraId="351EC1A7">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2.成果档次：所完成的实训作品或项目的质量水平。</w:t>
            </w:r>
          </w:p>
        </w:tc>
      </w:tr>
      <w:tr w14:paraId="59B2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Merge w:val="continue"/>
            <w:vAlign w:val="center"/>
          </w:tcPr>
          <w:p w14:paraId="51AA9970">
            <w:pPr>
              <w:widowControl/>
              <w:adjustRightInd/>
              <w:snapToGrid/>
              <w:spacing w:line="240" w:lineRule="auto"/>
              <w:ind w:firstLine="0" w:firstLineChars="0"/>
              <w:rPr>
                <w:rFonts w:cs="Segoe UI" w:asciiTheme="minorEastAsia" w:hAnsiTheme="minorEastAsia" w:eastAsiaTheme="minorEastAsia"/>
                <w:kern w:val="0"/>
              </w:rPr>
            </w:pPr>
          </w:p>
        </w:tc>
        <w:tc>
          <w:tcPr>
            <w:tcW w:w="468" w:type="pct"/>
            <w:vMerge w:val="continue"/>
            <w:vAlign w:val="center"/>
          </w:tcPr>
          <w:p w14:paraId="08889F74">
            <w:pPr>
              <w:widowControl/>
              <w:adjustRightInd/>
              <w:snapToGrid/>
              <w:spacing w:line="240" w:lineRule="auto"/>
              <w:ind w:firstLine="0" w:firstLineChars="0"/>
              <w:rPr>
                <w:rFonts w:cs="Segoe UI" w:asciiTheme="minorEastAsia" w:hAnsiTheme="minorEastAsia" w:eastAsiaTheme="minorEastAsia"/>
                <w:kern w:val="0"/>
              </w:rPr>
            </w:pPr>
          </w:p>
        </w:tc>
        <w:tc>
          <w:tcPr>
            <w:tcW w:w="1594" w:type="pct"/>
            <w:vMerge w:val="continue"/>
            <w:vAlign w:val="center"/>
          </w:tcPr>
          <w:p w14:paraId="6C08EF2C">
            <w:pPr>
              <w:widowControl/>
              <w:adjustRightInd/>
              <w:snapToGrid/>
              <w:spacing w:line="240" w:lineRule="auto"/>
              <w:ind w:firstLine="0" w:firstLineChars="0"/>
              <w:rPr>
                <w:rFonts w:cs="Segoe UI" w:asciiTheme="minorEastAsia" w:hAnsiTheme="minorEastAsia" w:eastAsiaTheme="minorEastAsia"/>
                <w:kern w:val="0"/>
              </w:rPr>
            </w:pPr>
          </w:p>
        </w:tc>
        <w:tc>
          <w:tcPr>
            <w:tcW w:w="2470" w:type="pct"/>
            <w:vAlign w:val="center"/>
          </w:tcPr>
          <w:p w14:paraId="06AC7647">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3.多方评价：结合企业导师、管理人员、同事、顾客等的综合反馈。</w:t>
            </w:r>
          </w:p>
        </w:tc>
      </w:tr>
      <w:tr w14:paraId="6A98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8" w:type="pct"/>
            <w:vMerge w:val="restart"/>
            <w:vAlign w:val="center"/>
          </w:tcPr>
          <w:p w14:paraId="6BB85F50">
            <w:pPr>
              <w:widowControl/>
              <w:adjustRightInd/>
              <w:snapToGrid/>
              <w:spacing w:line="240" w:lineRule="auto"/>
              <w:ind w:firstLine="0" w:firstLineChars="0"/>
              <w:rPr>
                <w:rFonts w:cs="Segoe UI" w:asciiTheme="minorEastAsia" w:hAnsiTheme="minorEastAsia" w:eastAsiaTheme="minorEastAsia"/>
                <w:kern w:val="0"/>
              </w:rPr>
            </w:pPr>
            <w:r>
              <w:rPr>
                <w:rFonts w:cs="Segoe UI" w:asciiTheme="minorEastAsia" w:hAnsiTheme="minorEastAsia" w:eastAsiaTheme="minorEastAsia"/>
                <w:kern w:val="0"/>
              </w:rPr>
              <w:t>评价机制</w:t>
            </w:r>
          </w:p>
        </w:tc>
        <w:tc>
          <w:tcPr>
            <w:tcW w:w="468" w:type="pct"/>
            <w:vMerge w:val="restart"/>
            <w:vAlign w:val="center"/>
          </w:tcPr>
          <w:p w14:paraId="371ADB6D">
            <w:pPr>
              <w:widowControl/>
              <w:adjustRightInd/>
              <w:snapToGrid/>
              <w:spacing w:line="240" w:lineRule="auto"/>
              <w:ind w:firstLine="240" w:firstLineChars="100"/>
              <w:rPr>
                <w:rFonts w:cs="Segoe UI" w:asciiTheme="minorEastAsia" w:hAnsiTheme="minorEastAsia" w:eastAsiaTheme="minorEastAsia"/>
                <w:kern w:val="0"/>
              </w:rPr>
            </w:pPr>
          </w:p>
        </w:tc>
        <w:tc>
          <w:tcPr>
            <w:tcW w:w="1594" w:type="pct"/>
            <w:vMerge w:val="restart"/>
            <w:vAlign w:val="center"/>
          </w:tcPr>
          <w:p w14:paraId="4C0495E9">
            <w:pPr>
              <w:widowControl/>
              <w:adjustRightInd/>
              <w:snapToGrid/>
              <w:spacing w:line="240" w:lineRule="auto"/>
              <w:ind w:firstLine="0" w:firstLineChars="0"/>
              <w:rPr>
                <w:rFonts w:cs="Segoe UI" w:asciiTheme="minorEastAsia" w:hAnsiTheme="minorEastAsia" w:eastAsiaTheme="minorEastAsia"/>
                <w:kern w:val="0"/>
              </w:rPr>
            </w:pPr>
            <w:r>
              <w:rPr>
                <w:rFonts w:cs="Segoe UI" w:asciiTheme="minorEastAsia" w:hAnsiTheme="minorEastAsia" w:eastAsiaTheme="minorEastAsia"/>
                <w:kern w:val="0"/>
              </w:rPr>
              <w:t>多元主体评价：建立以教师和企业导师为主，其他相关方为辅的评价机制。</w:t>
            </w:r>
          </w:p>
        </w:tc>
        <w:tc>
          <w:tcPr>
            <w:tcW w:w="2470" w:type="pct"/>
            <w:vAlign w:val="center"/>
          </w:tcPr>
          <w:p w14:paraId="169E5C68">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评价主体包括：</w:t>
            </w:r>
          </w:p>
        </w:tc>
      </w:tr>
      <w:tr w14:paraId="0B0C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8" w:type="pct"/>
            <w:vMerge w:val="continue"/>
            <w:vAlign w:val="center"/>
          </w:tcPr>
          <w:p w14:paraId="2608D833">
            <w:pPr>
              <w:widowControl/>
              <w:adjustRightInd/>
              <w:snapToGrid/>
              <w:spacing w:line="240" w:lineRule="auto"/>
              <w:ind w:firstLine="0" w:firstLineChars="0"/>
              <w:rPr>
                <w:rFonts w:cs="Segoe UI" w:asciiTheme="minorEastAsia" w:hAnsiTheme="minorEastAsia" w:eastAsiaTheme="minorEastAsia"/>
                <w:kern w:val="0"/>
              </w:rPr>
            </w:pPr>
          </w:p>
        </w:tc>
        <w:tc>
          <w:tcPr>
            <w:tcW w:w="468" w:type="pct"/>
            <w:vMerge w:val="continue"/>
            <w:vAlign w:val="center"/>
          </w:tcPr>
          <w:p w14:paraId="5B15B375">
            <w:pPr>
              <w:widowControl/>
              <w:adjustRightInd/>
              <w:snapToGrid/>
              <w:spacing w:line="240" w:lineRule="auto"/>
              <w:ind w:firstLine="0" w:firstLineChars="0"/>
              <w:rPr>
                <w:rFonts w:cs="Segoe UI" w:asciiTheme="minorEastAsia" w:hAnsiTheme="minorEastAsia" w:eastAsiaTheme="minorEastAsia"/>
                <w:kern w:val="0"/>
              </w:rPr>
            </w:pPr>
          </w:p>
        </w:tc>
        <w:tc>
          <w:tcPr>
            <w:tcW w:w="1594" w:type="pct"/>
            <w:vMerge w:val="continue"/>
            <w:vAlign w:val="center"/>
          </w:tcPr>
          <w:p w14:paraId="18B5BF7F">
            <w:pPr>
              <w:widowControl/>
              <w:adjustRightInd/>
              <w:snapToGrid/>
              <w:spacing w:line="240" w:lineRule="auto"/>
              <w:ind w:firstLine="0" w:firstLineChars="0"/>
              <w:rPr>
                <w:rFonts w:cs="Segoe UI" w:asciiTheme="minorEastAsia" w:hAnsiTheme="minorEastAsia" w:eastAsiaTheme="minorEastAsia"/>
                <w:kern w:val="0"/>
              </w:rPr>
            </w:pPr>
          </w:p>
        </w:tc>
        <w:tc>
          <w:tcPr>
            <w:tcW w:w="2470" w:type="pct"/>
            <w:vAlign w:val="center"/>
          </w:tcPr>
          <w:p w14:paraId="3BBC8920">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•核心主体：专业任课教师、企业实践指导教师。</w:t>
            </w:r>
          </w:p>
        </w:tc>
      </w:tr>
      <w:tr w14:paraId="271D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8" w:type="pct"/>
            <w:vMerge w:val="continue"/>
            <w:vAlign w:val="center"/>
          </w:tcPr>
          <w:p w14:paraId="54926040">
            <w:pPr>
              <w:widowControl/>
              <w:adjustRightInd/>
              <w:snapToGrid/>
              <w:spacing w:line="240" w:lineRule="auto"/>
              <w:ind w:firstLine="0" w:firstLineChars="0"/>
              <w:rPr>
                <w:rFonts w:cs="Segoe UI" w:asciiTheme="minorEastAsia" w:hAnsiTheme="minorEastAsia" w:eastAsiaTheme="minorEastAsia"/>
                <w:kern w:val="0"/>
              </w:rPr>
            </w:pPr>
          </w:p>
        </w:tc>
        <w:tc>
          <w:tcPr>
            <w:tcW w:w="468" w:type="pct"/>
            <w:vMerge w:val="continue"/>
            <w:vAlign w:val="center"/>
          </w:tcPr>
          <w:p w14:paraId="561AD9AC">
            <w:pPr>
              <w:widowControl/>
              <w:adjustRightInd/>
              <w:snapToGrid/>
              <w:spacing w:line="240" w:lineRule="auto"/>
              <w:ind w:firstLine="0" w:firstLineChars="0"/>
              <w:rPr>
                <w:rFonts w:cs="Segoe UI" w:asciiTheme="minorEastAsia" w:hAnsiTheme="minorEastAsia" w:eastAsiaTheme="minorEastAsia"/>
                <w:kern w:val="0"/>
              </w:rPr>
            </w:pPr>
          </w:p>
        </w:tc>
        <w:tc>
          <w:tcPr>
            <w:tcW w:w="1594" w:type="pct"/>
            <w:vMerge w:val="continue"/>
            <w:vAlign w:val="center"/>
          </w:tcPr>
          <w:p w14:paraId="6B3133A3">
            <w:pPr>
              <w:widowControl/>
              <w:adjustRightInd/>
              <w:snapToGrid/>
              <w:spacing w:line="240" w:lineRule="auto"/>
              <w:ind w:firstLine="0" w:firstLineChars="0"/>
              <w:rPr>
                <w:rFonts w:cs="Segoe UI" w:asciiTheme="minorEastAsia" w:hAnsiTheme="minorEastAsia" w:eastAsiaTheme="minorEastAsia"/>
                <w:kern w:val="0"/>
              </w:rPr>
            </w:pPr>
          </w:p>
        </w:tc>
        <w:tc>
          <w:tcPr>
            <w:tcW w:w="2470" w:type="pct"/>
            <w:vAlign w:val="center"/>
          </w:tcPr>
          <w:p w14:paraId="371CDC28">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•辅助主体：企业同事（员工）、顾客。</w:t>
            </w:r>
          </w:p>
        </w:tc>
      </w:tr>
      <w:tr w14:paraId="0F0F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Merge w:val="continue"/>
            <w:vAlign w:val="center"/>
          </w:tcPr>
          <w:p w14:paraId="18E29955">
            <w:pPr>
              <w:widowControl/>
              <w:adjustRightInd/>
              <w:snapToGrid/>
              <w:spacing w:line="240" w:lineRule="auto"/>
              <w:ind w:firstLine="0" w:firstLineChars="0"/>
              <w:rPr>
                <w:rFonts w:cs="Segoe UI" w:asciiTheme="minorEastAsia" w:hAnsiTheme="minorEastAsia" w:eastAsiaTheme="minorEastAsia"/>
                <w:kern w:val="0"/>
              </w:rPr>
            </w:pPr>
          </w:p>
        </w:tc>
        <w:tc>
          <w:tcPr>
            <w:tcW w:w="468" w:type="pct"/>
            <w:vMerge w:val="continue"/>
            <w:vAlign w:val="center"/>
          </w:tcPr>
          <w:p w14:paraId="3FDF7B9C">
            <w:pPr>
              <w:widowControl/>
              <w:adjustRightInd/>
              <w:snapToGrid/>
              <w:spacing w:line="240" w:lineRule="auto"/>
              <w:ind w:firstLine="0" w:firstLineChars="0"/>
              <w:rPr>
                <w:rFonts w:cs="Segoe UI" w:asciiTheme="minorEastAsia" w:hAnsiTheme="minorEastAsia" w:eastAsiaTheme="minorEastAsia"/>
                <w:kern w:val="0"/>
              </w:rPr>
            </w:pPr>
          </w:p>
        </w:tc>
        <w:tc>
          <w:tcPr>
            <w:tcW w:w="1594" w:type="pct"/>
            <w:vMerge w:val="continue"/>
            <w:vAlign w:val="center"/>
          </w:tcPr>
          <w:p w14:paraId="6C2037D9">
            <w:pPr>
              <w:widowControl/>
              <w:adjustRightInd/>
              <w:snapToGrid/>
              <w:spacing w:line="240" w:lineRule="auto"/>
              <w:ind w:firstLine="0" w:firstLineChars="0"/>
              <w:rPr>
                <w:rFonts w:cs="Segoe UI" w:asciiTheme="minorEastAsia" w:hAnsiTheme="minorEastAsia" w:eastAsiaTheme="minorEastAsia"/>
                <w:kern w:val="0"/>
              </w:rPr>
            </w:pPr>
          </w:p>
        </w:tc>
        <w:tc>
          <w:tcPr>
            <w:tcW w:w="2470" w:type="pct"/>
            <w:vAlign w:val="center"/>
          </w:tcPr>
          <w:p w14:paraId="675C0F77">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•自我评价：学生需对自身“工作业绩”进行总结和自评。</w:t>
            </w:r>
          </w:p>
        </w:tc>
      </w:tr>
      <w:tr w14:paraId="6C9D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8" w:type="pct"/>
            <w:vMerge w:val="restart"/>
            <w:vAlign w:val="center"/>
          </w:tcPr>
          <w:p w14:paraId="7DEF5945">
            <w:pPr>
              <w:widowControl/>
              <w:adjustRightInd/>
              <w:snapToGrid/>
              <w:spacing w:line="240" w:lineRule="auto"/>
              <w:ind w:firstLine="0" w:firstLineChars="0"/>
              <w:rPr>
                <w:rFonts w:cs="Segoe UI" w:asciiTheme="minorEastAsia" w:hAnsiTheme="minorEastAsia" w:eastAsiaTheme="minorEastAsia"/>
                <w:kern w:val="0"/>
              </w:rPr>
            </w:pPr>
            <w:r>
              <w:rPr>
                <w:rFonts w:cs="Segoe UI" w:asciiTheme="minorEastAsia" w:hAnsiTheme="minorEastAsia" w:eastAsiaTheme="minorEastAsia"/>
                <w:kern w:val="0"/>
              </w:rPr>
              <w:t>核心要求</w:t>
            </w:r>
          </w:p>
        </w:tc>
        <w:tc>
          <w:tcPr>
            <w:tcW w:w="468" w:type="pct"/>
            <w:vMerge w:val="restart"/>
            <w:vAlign w:val="center"/>
          </w:tcPr>
          <w:p w14:paraId="3D8E7FE1">
            <w:pPr>
              <w:widowControl/>
              <w:adjustRightInd/>
              <w:snapToGrid/>
              <w:spacing w:line="240" w:lineRule="auto"/>
              <w:ind w:firstLine="240" w:firstLineChars="100"/>
              <w:rPr>
                <w:rFonts w:cs="Segoe UI" w:asciiTheme="minorEastAsia" w:hAnsiTheme="minorEastAsia" w:eastAsiaTheme="minorEastAsia"/>
                <w:kern w:val="0"/>
              </w:rPr>
            </w:pPr>
          </w:p>
        </w:tc>
        <w:tc>
          <w:tcPr>
            <w:tcW w:w="1594" w:type="pct"/>
            <w:vMerge w:val="restart"/>
            <w:vAlign w:val="center"/>
          </w:tcPr>
          <w:p w14:paraId="7DFCE96B">
            <w:pPr>
              <w:widowControl/>
              <w:adjustRightInd/>
              <w:snapToGrid/>
              <w:spacing w:line="240" w:lineRule="auto"/>
              <w:ind w:firstLine="0" w:firstLineChars="0"/>
              <w:rPr>
                <w:rFonts w:cs="Segoe UI" w:asciiTheme="minorEastAsia" w:hAnsiTheme="minorEastAsia" w:eastAsiaTheme="minorEastAsia"/>
                <w:kern w:val="0"/>
              </w:rPr>
            </w:pPr>
            <w:r>
              <w:rPr>
                <w:rFonts w:cs="Segoe UI" w:asciiTheme="minorEastAsia" w:hAnsiTheme="minorEastAsia" w:eastAsiaTheme="minorEastAsia"/>
                <w:kern w:val="0"/>
              </w:rPr>
              <w:t>过程与结果并重，明确课程达成的必要条件。</w:t>
            </w:r>
          </w:p>
        </w:tc>
        <w:tc>
          <w:tcPr>
            <w:tcW w:w="2470" w:type="pct"/>
            <w:vAlign w:val="center"/>
          </w:tcPr>
          <w:p w14:paraId="32026B5D">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具体要求：</w:t>
            </w:r>
          </w:p>
        </w:tc>
      </w:tr>
      <w:tr w14:paraId="5606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Merge w:val="continue"/>
            <w:vAlign w:val="center"/>
          </w:tcPr>
          <w:p w14:paraId="05B69019">
            <w:pPr>
              <w:widowControl/>
              <w:adjustRightInd/>
              <w:snapToGrid/>
              <w:spacing w:line="240" w:lineRule="auto"/>
              <w:ind w:firstLine="0" w:firstLineChars="0"/>
              <w:rPr>
                <w:rFonts w:cs="Segoe UI" w:asciiTheme="minorEastAsia" w:hAnsiTheme="minorEastAsia" w:eastAsiaTheme="minorEastAsia"/>
                <w:kern w:val="0"/>
              </w:rPr>
            </w:pPr>
          </w:p>
        </w:tc>
        <w:tc>
          <w:tcPr>
            <w:tcW w:w="468" w:type="pct"/>
            <w:vMerge w:val="continue"/>
            <w:vAlign w:val="center"/>
          </w:tcPr>
          <w:p w14:paraId="0D82DAF0">
            <w:pPr>
              <w:widowControl/>
              <w:adjustRightInd/>
              <w:snapToGrid/>
              <w:spacing w:line="240" w:lineRule="auto"/>
              <w:ind w:firstLine="0" w:firstLineChars="0"/>
              <w:rPr>
                <w:rFonts w:cs="Segoe UI" w:asciiTheme="minorEastAsia" w:hAnsiTheme="minorEastAsia" w:eastAsiaTheme="minorEastAsia"/>
                <w:kern w:val="0"/>
              </w:rPr>
            </w:pPr>
          </w:p>
        </w:tc>
        <w:tc>
          <w:tcPr>
            <w:tcW w:w="1594" w:type="pct"/>
            <w:vMerge w:val="continue"/>
            <w:vAlign w:val="center"/>
          </w:tcPr>
          <w:p w14:paraId="22CB39B3">
            <w:pPr>
              <w:widowControl/>
              <w:adjustRightInd/>
              <w:snapToGrid/>
              <w:spacing w:line="240" w:lineRule="auto"/>
              <w:ind w:firstLine="0" w:firstLineChars="0"/>
              <w:rPr>
                <w:rFonts w:cs="Segoe UI" w:asciiTheme="minorEastAsia" w:hAnsiTheme="minorEastAsia" w:eastAsiaTheme="minorEastAsia"/>
                <w:kern w:val="0"/>
              </w:rPr>
            </w:pPr>
          </w:p>
        </w:tc>
        <w:tc>
          <w:tcPr>
            <w:tcW w:w="2470" w:type="pct"/>
            <w:vAlign w:val="center"/>
          </w:tcPr>
          <w:p w14:paraId="6F3FB162">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•必须完成：达到规定的顶岗实习时间，提交岗位工作日志、实习总结等。</w:t>
            </w:r>
          </w:p>
        </w:tc>
      </w:tr>
      <w:tr w14:paraId="651C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Merge w:val="continue"/>
            <w:vAlign w:val="center"/>
          </w:tcPr>
          <w:p w14:paraId="498DE032">
            <w:pPr>
              <w:widowControl/>
              <w:adjustRightInd/>
              <w:snapToGrid/>
              <w:spacing w:line="240" w:lineRule="auto"/>
              <w:ind w:firstLine="0" w:firstLineChars="0"/>
              <w:rPr>
                <w:rFonts w:cs="Segoe UI" w:asciiTheme="minorEastAsia" w:hAnsiTheme="minorEastAsia" w:eastAsiaTheme="minorEastAsia"/>
                <w:kern w:val="0"/>
              </w:rPr>
            </w:pPr>
          </w:p>
        </w:tc>
        <w:tc>
          <w:tcPr>
            <w:tcW w:w="468" w:type="pct"/>
            <w:vMerge w:val="continue"/>
            <w:vAlign w:val="center"/>
          </w:tcPr>
          <w:p w14:paraId="0BB9FEEA">
            <w:pPr>
              <w:widowControl/>
              <w:adjustRightInd/>
              <w:snapToGrid/>
              <w:spacing w:line="240" w:lineRule="auto"/>
              <w:ind w:firstLine="0" w:firstLineChars="0"/>
              <w:rPr>
                <w:rFonts w:cs="Segoe UI" w:asciiTheme="minorEastAsia" w:hAnsiTheme="minorEastAsia" w:eastAsiaTheme="minorEastAsia"/>
                <w:kern w:val="0"/>
              </w:rPr>
            </w:pPr>
          </w:p>
        </w:tc>
        <w:tc>
          <w:tcPr>
            <w:tcW w:w="1594" w:type="pct"/>
            <w:vMerge w:val="continue"/>
            <w:vAlign w:val="center"/>
          </w:tcPr>
          <w:p w14:paraId="6F2E1F41">
            <w:pPr>
              <w:widowControl/>
              <w:adjustRightInd/>
              <w:snapToGrid/>
              <w:spacing w:line="240" w:lineRule="auto"/>
              <w:ind w:firstLine="0" w:firstLineChars="0"/>
              <w:rPr>
                <w:rFonts w:cs="Segoe UI" w:asciiTheme="minorEastAsia" w:hAnsiTheme="minorEastAsia" w:eastAsiaTheme="minorEastAsia"/>
                <w:kern w:val="0"/>
              </w:rPr>
            </w:pPr>
          </w:p>
        </w:tc>
        <w:tc>
          <w:tcPr>
            <w:tcW w:w="2470" w:type="pct"/>
            <w:vAlign w:val="center"/>
          </w:tcPr>
          <w:p w14:paraId="1B030E6E">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•主要依据：最终实训作品的档次与企业方的综合评价是成绩评定的核心。</w:t>
            </w:r>
          </w:p>
        </w:tc>
      </w:tr>
      <w:tr w14:paraId="52EC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Merge w:val="continue"/>
            <w:vAlign w:val="center"/>
          </w:tcPr>
          <w:p w14:paraId="6C2E50AA">
            <w:pPr>
              <w:widowControl/>
              <w:adjustRightInd/>
              <w:snapToGrid/>
              <w:spacing w:line="240" w:lineRule="auto"/>
              <w:ind w:firstLine="0" w:firstLineChars="0"/>
              <w:rPr>
                <w:rFonts w:cs="Segoe UI" w:asciiTheme="minorEastAsia" w:hAnsiTheme="minorEastAsia" w:eastAsiaTheme="minorEastAsia"/>
                <w:kern w:val="0"/>
              </w:rPr>
            </w:pPr>
          </w:p>
        </w:tc>
        <w:tc>
          <w:tcPr>
            <w:tcW w:w="468" w:type="pct"/>
            <w:vMerge w:val="continue"/>
            <w:vAlign w:val="center"/>
          </w:tcPr>
          <w:p w14:paraId="2AC7948E">
            <w:pPr>
              <w:widowControl/>
              <w:adjustRightInd/>
              <w:snapToGrid/>
              <w:spacing w:line="240" w:lineRule="auto"/>
              <w:ind w:firstLine="0" w:firstLineChars="0"/>
              <w:rPr>
                <w:rFonts w:cs="Segoe UI" w:asciiTheme="minorEastAsia" w:hAnsiTheme="minorEastAsia" w:eastAsiaTheme="minorEastAsia"/>
                <w:kern w:val="0"/>
              </w:rPr>
            </w:pPr>
          </w:p>
        </w:tc>
        <w:tc>
          <w:tcPr>
            <w:tcW w:w="1594" w:type="pct"/>
            <w:vMerge w:val="continue"/>
            <w:vAlign w:val="center"/>
          </w:tcPr>
          <w:p w14:paraId="622E2157">
            <w:pPr>
              <w:widowControl/>
              <w:adjustRightInd/>
              <w:snapToGrid/>
              <w:spacing w:line="240" w:lineRule="auto"/>
              <w:ind w:firstLine="0" w:firstLineChars="0"/>
              <w:rPr>
                <w:rFonts w:cs="Segoe UI" w:asciiTheme="minorEastAsia" w:hAnsiTheme="minorEastAsia" w:eastAsiaTheme="minorEastAsia"/>
                <w:kern w:val="0"/>
              </w:rPr>
            </w:pPr>
          </w:p>
        </w:tc>
        <w:tc>
          <w:tcPr>
            <w:tcW w:w="2470" w:type="pct"/>
            <w:vAlign w:val="center"/>
          </w:tcPr>
          <w:p w14:paraId="75C0B3D8">
            <w:pPr>
              <w:widowControl/>
              <w:adjustRightInd/>
              <w:snapToGrid/>
              <w:spacing w:line="240" w:lineRule="auto"/>
              <w:ind w:firstLine="240" w:firstLineChars="100"/>
              <w:rPr>
                <w:rFonts w:cs="Segoe UI" w:asciiTheme="minorEastAsia" w:hAnsiTheme="minorEastAsia" w:eastAsiaTheme="minorEastAsia"/>
                <w:kern w:val="0"/>
              </w:rPr>
            </w:pPr>
            <w:r>
              <w:rPr>
                <w:rFonts w:cs="Segoe UI" w:asciiTheme="minorEastAsia" w:hAnsiTheme="minorEastAsia" w:eastAsiaTheme="minorEastAsia"/>
                <w:kern w:val="0"/>
              </w:rPr>
              <w:t>•关联认证：考核应与职业技能鉴定相结合，鼓励学生获取相应职业资格证书。</w:t>
            </w:r>
          </w:p>
        </w:tc>
      </w:tr>
    </w:tbl>
    <w:p w14:paraId="1400417D">
      <w:pPr>
        <w:ind w:firstLine="480"/>
      </w:pPr>
      <w:r>
        <w:rPr>
          <w:rFonts w:hint="eastAsia"/>
        </w:rPr>
        <w:t>（3）不断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59F0CDD8">
      <w:pPr>
        <w:ind w:firstLine="480"/>
      </w:pPr>
      <w:r>
        <w:rPr>
          <w:rFonts w:hint="eastAsia"/>
        </w:rPr>
        <w:t>（4）专业部建立线上线下相结合的集中备课制度，定期召开教学研讨会议，利用评价分析结果有效改进专业教学，持续提高人才培养质量。</w:t>
      </w:r>
    </w:p>
    <w:p w14:paraId="65B8C7D8">
      <w:pPr>
        <w:ind w:firstLine="480"/>
        <w:rPr>
          <w:rStyle w:val="44"/>
          <w:b w:val="0"/>
        </w:rPr>
      </w:pPr>
      <w:r>
        <w:rPr>
          <w:rFonts w:hint="eastAsia"/>
        </w:rPr>
        <w:t>（5）建立毕业生跟踪反馈机制及社会评价机制，并对生源情况、职业道德、技术技能水平、就业质量等进行分析，定期评价人才培养质量和培养目标达成情况。</w:t>
      </w:r>
    </w:p>
    <w:p w14:paraId="79F374E5">
      <w:pPr>
        <w:pStyle w:val="3"/>
        <w:ind w:firstLine="422"/>
      </w:pPr>
      <w:bookmarkStart w:id="69" w:name="_Toc77417485"/>
      <w:bookmarkStart w:id="70" w:name="_Toc213423804"/>
      <w:bookmarkStart w:id="71" w:name="_Toc212238075"/>
      <w:r>
        <w:rPr>
          <w:rFonts w:hint="eastAsia"/>
        </w:rPr>
        <w:t>（二）</w:t>
      </w:r>
      <w:r>
        <w:t>毕业要求</w:t>
      </w:r>
      <w:bookmarkEnd w:id="69"/>
      <w:bookmarkEnd w:id="70"/>
      <w:bookmarkEnd w:id="71"/>
    </w:p>
    <w:p w14:paraId="5E27FEB0">
      <w:pPr>
        <w:ind w:firstLine="480"/>
      </w:pPr>
      <w:r>
        <w:rPr>
          <w:rFonts w:hint="eastAsia"/>
        </w:rPr>
        <w:t>毕业要求是学生通过规定年限的学习，须修满的专业人才培养方案所规定的学时学分，完成规定的教学活动，毕业时应达到的素质、知识和能力等方面要求，并取得规定的职业资格证书。毕业要求应能支撑培养目标的有效达成。具体要求如下：</w:t>
      </w:r>
    </w:p>
    <w:p w14:paraId="136FC3DC">
      <w:pPr>
        <w:pStyle w:val="4"/>
        <w:rPr>
          <w:rStyle w:val="137"/>
          <w:b w:val="0"/>
          <w:bCs/>
          <w:sz w:val="24"/>
        </w:rPr>
      </w:pPr>
      <w:bookmarkStart w:id="72" w:name="_Toc77417486"/>
      <w:bookmarkStart w:id="73" w:name="_Toc212238076"/>
      <w:r>
        <w:rPr>
          <w:rStyle w:val="137"/>
          <w:rFonts w:hint="eastAsia"/>
          <w:b w:val="0"/>
          <w:bCs/>
          <w:sz w:val="24"/>
        </w:rPr>
        <w:t>1、成绩要求</w:t>
      </w:r>
      <w:bookmarkEnd w:id="72"/>
      <w:bookmarkEnd w:id="73"/>
    </w:p>
    <w:p w14:paraId="385FCC92">
      <w:pPr>
        <w:ind w:firstLine="480"/>
      </w:pPr>
      <w:r>
        <w:rPr>
          <w:rFonts w:hint="eastAsia"/>
        </w:rPr>
        <w:t>（</w:t>
      </w:r>
      <w:r>
        <w:t>1</w:t>
      </w:r>
      <w:r>
        <w:rPr>
          <w:rFonts w:hint="eastAsia"/>
        </w:rPr>
        <w:t>）在规定年限内修完人才培养方案中要求的三大类</w:t>
      </w:r>
      <w:r>
        <w:t>课程</w:t>
      </w:r>
      <w:r>
        <w:rPr>
          <w:rFonts w:hint="eastAsia"/>
        </w:rPr>
        <w:t>，</w:t>
      </w:r>
      <w:r>
        <w:t>有</w:t>
      </w:r>
      <w:r>
        <w:rPr>
          <w:rFonts w:hint="eastAsia"/>
        </w:rPr>
        <w:t>公共基础课、</w:t>
      </w:r>
      <w:r>
        <w:t>专业</w:t>
      </w:r>
      <w:r>
        <w:rPr>
          <w:rFonts w:hint="eastAsia"/>
        </w:rPr>
        <w:t>基础课、专业核心课、</w:t>
      </w:r>
      <w:r>
        <w:t>专业</w:t>
      </w:r>
      <w:r>
        <w:rPr>
          <w:rFonts w:hint="eastAsia"/>
        </w:rPr>
        <w:t>拓展课等的学习任务，</w:t>
      </w:r>
      <w:r>
        <w:t>课程考核合格</w:t>
      </w:r>
      <w:r>
        <w:rPr>
          <w:rFonts w:hint="eastAsia"/>
        </w:rPr>
        <w:t>；</w:t>
      </w:r>
    </w:p>
    <w:p w14:paraId="5D6DD545">
      <w:pPr>
        <w:ind w:firstLine="480"/>
      </w:pPr>
      <w:r>
        <w:rPr>
          <w:rFonts w:hint="eastAsia"/>
        </w:rPr>
        <w:t>（</w:t>
      </w:r>
      <w:r>
        <w:t>2</w:t>
      </w:r>
      <w:r>
        <w:rPr>
          <w:rFonts w:hint="eastAsia"/>
        </w:rPr>
        <w:t>）完成校内各项实践、实训项目、毕业实习等教育环节，成绩合格。</w:t>
      </w:r>
    </w:p>
    <w:p w14:paraId="21EE5AC2">
      <w:pPr>
        <w:pStyle w:val="4"/>
      </w:pPr>
      <w:bookmarkStart w:id="74" w:name="_Toc77417487"/>
      <w:bookmarkStart w:id="75" w:name="_Toc212238077"/>
      <w:r>
        <w:rPr>
          <w:rFonts w:hint="eastAsia"/>
        </w:rPr>
        <w:t>2、技能要求</w:t>
      </w:r>
      <w:bookmarkEnd w:id="74"/>
      <w:bookmarkEnd w:id="75"/>
    </w:p>
    <w:p w14:paraId="3328EE9B">
      <w:pPr>
        <w:ind w:firstLine="480"/>
      </w:pPr>
      <w:r>
        <w:rPr>
          <w:rFonts w:hint="eastAsia"/>
        </w:rPr>
        <w:t>要求学生应具有本专业技能人才必备的文化基础知识，积极关注国内外的经济动态及本专业发展趋势，掌握本专业必需的基本理论和基本技能；能较熟练地掌握计算机应用技术。</w:t>
      </w:r>
    </w:p>
    <w:p w14:paraId="00E513B1">
      <w:pPr>
        <w:pStyle w:val="4"/>
      </w:pPr>
      <w:bookmarkStart w:id="76" w:name="_Toc212238078"/>
      <w:bookmarkStart w:id="77" w:name="_Toc77417488"/>
      <w:r>
        <w:rPr>
          <w:rFonts w:hint="eastAsia"/>
        </w:rPr>
        <w:t>3、技能证书的要求</w:t>
      </w:r>
      <w:bookmarkEnd w:id="76"/>
      <w:bookmarkEnd w:id="77"/>
    </w:p>
    <w:p w14:paraId="2A09CD16">
      <w:pPr>
        <w:ind w:firstLine="480"/>
      </w:pPr>
      <w:bookmarkStart w:id="78" w:name="_Hlk212159387"/>
      <w:r>
        <w:rPr>
          <w:rFonts w:hint="eastAsia"/>
        </w:rPr>
        <w:t>学生应在校期间取得以下相关的证书之一：</w:t>
      </w:r>
    </w:p>
    <w:bookmarkEnd w:id="78"/>
    <w:p w14:paraId="4DDDF138">
      <w:pPr>
        <w:ind w:firstLine="480"/>
      </w:pPr>
      <w:r>
        <w:rPr>
          <w:rFonts w:hint="eastAsia"/>
        </w:rPr>
        <w:t>（</w:t>
      </w:r>
      <w:r>
        <w:t>1</w:t>
      </w:r>
      <w:r>
        <w:rPr>
          <w:rFonts w:hint="eastAsia"/>
        </w:rPr>
        <w:t>）二级乙等及以上等级的普通话等级证书。</w:t>
      </w:r>
    </w:p>
    <w:p w14:paraId="5EE56AD2">
      <w:pPr>
        <w:ind w:firstLine="480"/>
      </w:pPr>
      <w:r>
        <w:rPr>
          <w:rFonts w:hint="eastAsia"/>
        </w:rPr>
        <w:t>（</w:t>
      </w:r>
      <w:r>
        <w:t>2</w:t>
      </w:r>
      <w:r>
        <w:rPr>
          <w:rFonts w:hint="eastAsia"/>
        </w:rPr>
        <w:t>）装饰美工职业技能等级证书。</w:t>
      </w:r>
    </w:p>
    <w:sectPr>
      <w:footerReference r:id="rId11" w:type="first"/>
      <w:pgSz w:w="11906" w:h="16838"/>
      <w:pgMar w:top="1440" w:right="1800" w:bottom="1440" w:left="1800" w:header="851" w:footer="992" w:gutter="0"/>
      <w:pgNumType w:fmt="numberInDash"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81BDA2F-FFD4-43FE-B616-463CCFA681FD}"/>
  </w:font>
  <w:font w:name="黑体">
    <w:panose1 w:val="02010609060101010101"/>
    <w:charset w:val="86"/>
    <w:family w:val="auto"/>
    <w:pitch w:val="default"/>
    <w:sig w:usb0="800002BF" w:usb1="38CF7CFA" w:usb2="00000016" w:usb3="00000000" w:csb0="00040001" w:csb1="00000000"/>
    <w:embedRegular r:id="rId2" w:fontKey="{69A179AB-4172-4550-99F0-C8D62A4DBE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17E472D-D84E-4BAD-9CC5-05CFFEDC71D5}"/>
  </w:font>
  <w:font w:name="仿宋_GB2312">
    <w:altName w:val="仿宋"/>
    <w:panose1 w:val="02010609030101010101"/>
    <w:charset w:val="86"/>
    <w:family w:val="modern"/>
    <w:pitch w:val="default"/>
    <w:sig w:usb0="00000000" w:usb1="00000000" w:usb2="00000010" w:usb3="00000000" w:csb0="00040000" w:csb1="00000000"/>
    <w:embedRegular r:id="rId4" w:fontKey="{041FF36F-4C3A-44CC-8E3A-38158EA032FE}"/>
  </w:font>
  <w:font w:name="仿宋">
    <w:panose1 w:val="02010609060101010101"/>
    <w:charset w:val="86"/>
    <w:family w:val="modern"/>
    <w:pitch w:val="default"/>
    <w:sig w:usb0="800002BF" w:usb1="38CF7CFA" w:usb2="00000016" w:usb3="00000000" w:csb0="00040001" w:csb1="00000000"/>
    <w:embedRegular r:id="rId5" w:fontKey="{ADAD3B53-D47A-46D9-83DE-4F69827FB3A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6" w:fontKey="{3B4CEF65-368B-4833-A4FB-37C9FF02CA85}"/>
  </w:font>
  <w:font w:name="等线">
    <w:panose1 w:val="02010600030101010101"/>
    <w:charset w:val="86"/>
    <w:family w:val="auto"/>
    <w:pitch w:val="default"/>
    <w:sig w:usb0="A00002BF" w:usb1="38CF7CFA" w:usb2="00000016" w:usb3="00000000" w:csb0="0004000F" w:csb1="00000000"/>
    <w:embedRegular r:id="rId7" w:fontKey="{E96F8E43-FAE6-49F4-817A-89FFC36ED04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script"/>
    <w:pitch w:val="default"/>
    <w:sig w:usb0="A00002BF" w:usb1="184F6CFA" w:usb2="00000012"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embedRegular r:id="rId8" w:fontKey="{C1B69C49-AD42-4A4F-B596-50754482D01F}"/>
  </w:font>
  <w:font w:name="Segoe UI">
    <w:panose1 w:val="020B0502040204020203"/>
    <w:charset w:val="00"/>
    <w:family w:val="swiss"/>
    <w:pitch w:val="default"/>
    <w:sig w:usb0="E4002EFF" w:usb1="C000E47F" w:usb2="00000009" w:usb3="00000000" w:csb0="200001FF" w:csb1="00000000"/>
    <w:embedRegular r:id="rId9" w:fontKey="{5C4C49AF-D8AA-49C3-9F23-E46A449402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4C14895C">
        <w:pPr>
          <w:pStyle w:val="26"/>
          <w:ind w:firstLineChars="111"/>
          <w:jc w:val="center"/>
        </w:pPr>
        <w:r>
          <w:fldChar w:fldCharType="begin"/>
        </w:r>
        <w:r>
          <w:instrText xml:space="preserve">PAGE   \* MERGEFORMAT</w:instrText>
        </w:r>
        <w:r>
          <w:fldChar w:fldCharType="separate"/>
        </w:r>
        <w:r>
          <w:rPr>
            <w:lang w:val="zh-CN"/>
          </w:rPr>
          <w:t>-</w:t>
        </w:r>
        <w:r>
          <w:t xml:space="preserve"> 19 -</w:t>
        </w:r>
        <w:r>
          <w:fldChar w:fldCharType="end"/>
        </w:r>
      </w:p>
    </w:sdtContent>
  </w:sdt>
  <w:p w14:paraId="4E261476">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C2A1E">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50C12">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378877"/>
      <w:docPartObj>
        <w:docPartGallery w:val="autotext"/>
      </w:docPartObj>
    </w:sdtPr>
    <w:sdtContent>
      <w:p w14:paraId="747D6936">
        <w:pPr>
          <w:pStyle w:val="26"/>
          <w:ind w:left="6000" w:firstLine="360"/>
          <w:jc w:val="center"/>
        </w:pPr>
        <w:r>
          <w:fldChar w:fldCharType="begin"/>
        </w:r>
        <w:r>
          <w:instrText xml:space="preserve">PAGE   \* MERGEFORMAT</w:instrText>
        </w:r>
        <w:r>
          <w:fldChar w:fldCharType="separate"/>
        </w:r>
        <w:r>
          <w:rPr>
            <w:lang w:val="zh-CN"/>
          </w:rPr>
          <w:t>1</w:t>
        </w:r>
        <w:r>
          <w:fldChar w:fldCharType="end"/>
        </w:r>
      </w:p>
    </w:sdtContent>
  </w:sdt>
  <w:p w14:paraId="7E09F296">
    <w:pPr>
      <w:pStyle w:val="2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DE1C5">
    <w:pPr>
      <w:pStyle w:val="2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7F18">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C39F">
    <w:pPr>
      <w:pStyle w:val="2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D4535"/>
    <w:multiLevelType w:val="multilevel"/>
    <w:tmpl w:val="37ED4535"/>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B6F51E3"/>
    <w:multiLevelType w:val="singleLevel"/>
    <w:tmpl w:val="3B6F51E3"/>
    <w:lvl w:ilvl="0" w:tentative="0">
      <w:start w:val="1"/>
      <w:numFmt w:val="decimal"/>
      <w:pStyle w:val="100"/>
      <w:lvlText w:val="%1、"/>
      <w:lvlJc w:val="left"/>
      <w:pPr>
        <w:tabs>
          <w:tab w:val="left" w:pos="1140"/>
        </w:tabs>
        <w:ind w:left="0" w:firstLine="420"/>
      </w:pPr>
      <w:rPr>
        <w:rFonts w:hint="eastAsia"/>
      </w:rPr>
    </w:lvl>
  </w:abstractNum>
  <w:abstractNum w:abstractNumId="2">
    <w:nsid w:val="409A1ED6"/>
    <w:multiLevelType w:val="multilevel"/>
    <w:tmpl w:val="409A1ED6"/>
    <w:lvl w:ilvl="0" w:tentative="0">
      <w:start w:val="1"/>
      <w:numFmt w:val="decimal"/>
      <w:lvlText w:val="%1."/>
      <w:lvlJc w:val="left"/>
      <w:pPr>
        <w:ind w:left="782" w:hanging="360"/>
      </w:pPr>
      <w:rPr>
        <w:rFonts w:hint="default"/>
      </w:rPr>
    </w:lvl>
    <w:lvl w:ilvl="1" w:tentative="0">
      <w:start w:val="1"/>
      <w:numFmt w:val="lowerLetter"/>
      <w:lvlText w:val="%2)"/>
      <w:lvlJc w:val="left"/>
      <w:pPr>
        <w:ind w:left="1302" w:hanging="440"/>
      </w:pPr>
    </w:lvl>
    <w:lvl w:ilvl="2" w:tentative="0">
      <w:start w:val="1"/>
      <w:numFmt w:val="lowerRoman"/>
      <w:lvlText w:val="%3."/>
      <w:lvlJc w:val="right"/>
      <w:pPr>
        <w:ind w:left="1742" w:hanging="440"/>
      </w:pPr>
    </w:lvl>
    <w:lvl w:ilvl="3" w:tentative="0">
      <w:start w:val="1"/>
      <w:numFmt w:val="decimal"/>
      <w:lvlText w:val="%4."/>
      <w:lvlJc w:val="left"/>
      <w:pPr>
        <w:ind w:left="2182" w:hanging="440"/>
      </w:pPr>
    </w:lvl>
    <w:lvl w:ilvl="4" w:tentative="0">
      <w:start w:val="1"/>
      <w:numFmt w:val="lowerLetter"/>
      <w:lvlText w:val="%5)"/>
      <w:lvlJc w:val="left"/>
      <w:pPr>
        <w:ind w:left="2622" w:hanging="440"/>
      </w:pPr>
    </w:lvl>
    <w:lvl w:ilvl="5" w:tentative="0">
      <w:start w:val="1"/>
      <w:numFmt w:val="lowerRoman"/>
      <w:lvlText w:val="%6."/>
      <w:lvlJc w:val="right"/>
      <w:pPr>
        <w:ind w:left="3062" w:hanging="440"/>
      </w:pPr>
    </w:lvl>
    <w:lvl w:ilvl="6" w:tentative="0">
      <w:start w:val="1"/>
      <w:numFmt w:val="decimal"/>
      <w:lvlText w:val="%7."/>
      <w:lvlJc w:val="left"/>
      <w:pPr>
        <w:ind w:left="3502" w:hanging="440"/>
      </w:pPr>
    </w:lvl>
    <w:lvl w:ilvl="7" w:tentative="0">
      <w:start w:val="1"/>
      <w:numFmt w:val="lowerLetter"/>
      <w:lvlText w:val="%8)"/>
      <w:lvlJc w:val="left"/>
      <w:pPr>
        <w:ind w:left="3942" w:hanging="440"/>
      </w:pPr>
    </w:lvl>
    <w:lvl w:ilvl="8" w:tentative="0">
      <w:start w:val="1"/>
      <w:numFmt w:val="lowerRoman"/>
      <w:lvlText w:val="%9."/>
      <w:lvlJc w:val="right"/>
      <w:pPr>
        <w:ind w:left="4382"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55"/>
    <w:rsid w:val="00000BB5"/>
    <w:rsid w:val="0000562D"/>
    <w:rsid w:val="000063CF"/>
    <w:rsid w:val="00024753"/>
    <w:rsid w:val="000253F4"/>
    <w:rsid w:val="00027215"/>
    <w:rsid w:val="00027B9A"/>
    <w:rsid w:val="00027CB9"/>
    <w:rsid w:val="000344BD"/>
    <w:rsid w:val="00035374"/>
    <w:rsid w:val="00035DFE"/>
    <w:rsid w:val="00043638"/>
    <w:rsid w:val="000436D7"/>
    <w:rsid w:val="00045F8D"/>
    <w:rsid w:val="000569FE"/>
    <w:rsid w:val="000570BC"/>
    <w:rsid w:val="00060470"/>
    <w:rsid w:val="00062A0B"/>
    <w:rsid w:val="00065E74"/>
    <w:rsid w:val="00067C4D"/>
    <w:rsid w:val="00071A09"/>
    <w:rsid w:val="00074C66"/>
    <w:rsid w:val="00081315"/>
    <w:rsid w:val="00082387"/>
    <w:rsid w:val="00084BCE"/>
    <w:rsid w:val="00086FB5"/>
    <w:rsid w:val="0008754B"/>
    <w:rsid w:val="0009005F"/>
    <w:rsid w:val="00090CB7"/>
    <w:rsid w:val="00090F45"/>
    <w:rsid w:val="00092F56"/>
    <w:rsid w:val="00096A02"/>
    <w:rsid w:val="000976B4"/>
    <w:rsid w:val="000A1F09"/>
    <w:rsid w:val="000A29D1"/>
    <w:rsid w:val="000B4E50"/>
    <w:rsid w:val="000B6B6D"/>
    <w:rsid w:val="000C34FA"/>
    <w:rsid w:val="000C3E6A"/>
    <w:rsid w:val="000C57C6"/>
    <w:rsid w:val="000D47CC"/>
    <w:rsid w:val="000D4DC6"/>
    <w:rsid w:val="000D5BDA"/>
    <w:rsid w:val="000E1921"/>
    <w:rsid w:val="000E3191"/>
    <w:rsid w:val="000E44E9"/>
    <w:rsid w:val="000E6A4F"/>
    <w:rsid w:val="000E7C66"/>
    <w:rsid w:val="000E7E94"/>
    <w:rsid w:val="000F0400"/>
    <w:rsid w:val="000F155F"/>
    <w:rsid w:val="000F6A7C"/>
    <w:rsid w:val="000F7571"/>
    <w:rsid w:val="0010437B"/>
    <w:rsid w:val="00105C3B"/>
    <w:rsid w:val="0010609F"/>
    <w:rsid w:val="00110E8E"/>
    <w:rsid w:val="00111B48"/>
    <w:rsid w:val="001148AF"/>
    <w:rsid w:val="00122CA8"/>
    <w:rsid w:val="00132D5E"/>
    <w:rsid w:val="00135B5E"/>
    <w:rsid w:val="00136C56"/>
    <w:rsid w:val="00141EFE"/>
    <w:rsid w:val="00142822"/>
    <w:rsid w:val="0015095E"/>
    <w:rsid w:val="001549D7"/>
    <w:rsid w:val="00154F2C"/>
    <w:rsid w:val="001600D1"/>
    <w:rsid w:val="00161740"/>
    <w:rsid w:val="00163FEA"/>
    <w:rsid w:val="001660B2"/>
    <w:rsid w:val="001664F7"/>
    <w:rsid w:val="0016674A"/>
    <w:rsid w:val="001716B4"/>
    <w:rsid w:val="0017779D"/>
    <w:rsid w:val="00180486"/>
    <w:rsid w:val="00183186"/>
    <w:rsid w:val="0018634A"/>
    <w:rsid w:val="0019126E"/>
    <w:rsid w:val="00195976"/>
    <w:rsid w:val="001A7119"/>
    <w:rsid w:val="001A7D1F"/>
    <w:rsid w:val="001B244F"/>
    <w:rsid w:val="001B557A"/>
    <w:rsid w:val="001B62C8"/>
    <w:rsid w:val="001B643D"/>
    <w:rsid w:val="001C00B0"/>
    <w:rsid w:val="001C1A39"/>
    <w:rsid w:val="001C21C4"/>
    <w:rsid w:val="001C5610"/>
    <w:rsid w:val="001D1843"/>
    <w:rsid w:val="001D2C00"/>
    <w:rsid w:val="001D506E"/>
    <w:rsid w:val="001D662E"/>
    <w:rsid w:val="001E0902"/>
    <w:rsid w:val="001E0E85"/>
    <w:rsid w:val="001F2CDF"/>
    <w:rsid w:val="001F7621"/>
    <w:rsid w:val="001F7C93"/>
    <w:rsid w:val="00202561"/>
    <w:rsid w:val="00207AE8"/>
    <w:rsid w:val="00210881"/>
    <w:rsid w:val="00210985"/>
    <w:rsid w:val="00214BD2"/>
    <w:rsid w:val="002156BF"/>
    <w:rsid w:val="00217106"/>
    <w:rsid w:val="00223135"/>
    <w:rsid w:val="002234BC"/>
    <w:rsid w:val="00227836"/>
    <w:rsid w:val="00233A63"/>
    <w:rsid w:val="00240D1E"/>
    <w:rsid w:val="00241647"/>
    <w:rsid w:val="00242CF0"/>
    <w:rsid w:val="00250274"/>
    <w:rsid w:val="00250CCD"/>
    <w:rsid w:val="0025232D"/>
    <w:rsid w:val="002533E7"/>
    <w:rsid w:val="00255087"/>
    <w:rsid w:val="00256BCF"/>
    <w:rsid w:val="00262147"/>
    <w:rsid w:val="0026485E"/>
    <w:rsid w:val="00266C49"/>
    <w:rsid w:val="00271827"/>
    <w:rsid w:val="00271D14"/>
    <w:rsid w:val="00272458"/>
    <w:rsid w:val="00275B33"/>
    <w:rsid w:val="00275E7D"/>
    <w:rsid w:val="002811CB"/>
    <w:rsid w:val="0028195D"/>
    <w:rsid w:val="00282405"/>
    <w:rsid w:val="00283D84"/>
    <w:rsid w:val="00284CB1"/>
    <w:rsid w:val="002942BC"/>
    <w:rsid w:val="002955CA"/>
    <w:rsid w:val="002A0B6E"/>
    <w:rsid w:val="002A252D"/>
    <w:rsid w:val="002A4AF5"/>
    <w:rsid w:val="002A512E"/>
    <w:rsid w:val="002A6388"/>
    <w:rsid w:val="002B0949"/>
    <w:rsid w:val="002B772F"/>
    <w:rsid w:val="002C049D"/>
    <w:rsid w:val="002C70AC"/>
    <w:rsid w:val="002D5082"/>
    <w:rsid w:val="002D51EB"/>
    <w:rsid w:val="002D7494"/>
    <w:rsid w:val="002E259D"/>
    <w:rsid w:val="002E39DB"/>
    <w:rsid w:val="002F1511"/>
    <w:rsid w:val="002F48FF"/>
    <w:rsid w:val="002F6156"/>
    <w:rsid w:val="002F6B75"/>
    <w:rsid w:val="002F7BA1"/>
    <w:rsid w:val="00303851"/>
    <w:rsid w:val="0030570C"/>
    <w:rsid w:val="00313AC8"/>
    <w:rsid w:val="00316384"/>
    <w:rsid w:val="00316713"/>
    <w:rsid w:val="00316F26"/>
    <w:rsid w:val="00323A3E"/>
    <w:rsid w:val="00324221"/>
    <w:rsid w:val="003264B1"/>
    <w:rsid w:val="00326673"/>
    <w:rsid w:val="0033466F"/>
    <w:rsid w:val="00341CAC"/>
    <w:rsid w:val="003442AF"/>
    <w:rsid w:val="00344D15"/>
    <w:rsid w:val="00345730"/>
    <w:rsid w:val="00347577"/>
    <w:rsid w:val="003601E9"/>
    <w:rsid w:val="00360A04"/>
    <w:rsid w:val="00363FF3"/>
    <w:rsid w:val="00374A8F"/>
    <w:rsid w:val="003812A6"/>
    <w:rsid w:val="00383695"/>
    <w:rsid w:val="00385300"/>
    <w:rsid w:val="00385FEC"/>
    <w:rsid w:val="00390447"/>
    <w:rsid w:val="00391655"/>
    <w:rsid w:val="00393148"/>
    <w:rsid w:val="003A09EE"/>
    <w:rsid w:val="003B7D55"/>
    <w:rsid w:val="003C09FD"/>
    <w:rsid w:val="003C14E5"/>
    <w:rsid w:val="003C618C"/>
    <w:rsid w:val="003D02A1"/>
    <w:rsid w:val="003D45CE"/>
    <w:rsid w:val="003D5CAB"/>
    <w:rsid w:val="003D6174"/>
    <w:rsid w:val="003E6F56"/>
    <w:rsid w:val="003F470A"/>
    <w:rsid w:val="003F5776"/>
    <w:rsid w:val="00400B7C"/>
    <w:rsid w:val="00400C5F"/>
    <w:rsid w:val="00401C82"/>
    <w:rsid w:val="00403D89"/>
    <w:rsid w:val="00405724"/>
    <w:rsid w:val="00407DF0"/>
    <w:rsid w:val="00412463"/>
    <w:rsid w:val="00416B55"/>
    <w:rsid w:val="00421FE3"/>
    <w:rsid w:val="00422458"/>
    <w:rsid w:val="00426B30"/>
    <w:rsid w:val="00430331"/>
    <w:rsid w:val="00431992"/>
    <w:rsid w:val="004320EE"/>
    <w:rsid w:val="00432AEA"/>
    <w:rsid w:val="00433432"/>
    <w:rsid w:val="004479DB"/>
    <w:rsid w:val="00454A1C"/>
    <w:rsid w:val="00461314"/>
    <w:rsid w:val="0046140A"/>
    <w:rsid w:val="0046287E"/>
    <w:rsid w:val="00462E2D"/>
    <w:rsid w:val="004637E6"/>
    <w:rsid w:val="00464634"/>
    <w:rsid w:val="00464CD8"/>
    <w:rsid w:val="00470092"/>
    <w:rsid w:val="00470B85"/>
    <w:rsid w:val="00477B49"/>
    <w:rsid w:val="004834F3"/>
    <w:rsid w:val="004837D3"/>
    <w:rsid w:val="00487EA4"/>
    <w:rsid w:val="00491A44"/>
    <w:rsid w:val="00494A91"/>
    <w:rsid w:val="00495EED"/>
    <w:rsid w:val="004A28A6"/>
    <w:rsid w:val="004A3F39"/>
    <w:rsid w:val="004A4C1E"/>
    <w:rsid w:val="004B09AB"/>
    <w:rsid w:val="004B335C"/>
    <w:rsid w:val="004B78BE"/>
    <w:rsid w:val="004C0565"/>
    <w:rsid w:val="004C0839"/>
    <w:rsid w:val="004C20E3"/>
    <w:rsid w:val="004C57DD"/>
    <w:rsid w:val="004D74FD"/>
    <w:rsid w:val="004E43B9"/>
    <w:rsid w:val="004E6966"/>
    <w:rsid w:val="004F30A3"/>
    <w:rsid w:val="004F3277"/>
    <w:rsid w:val="004F395E"/>
    <w:rsid w:val="004F4AC0"/>
    <w:rsid w:val="005021D8"/>
    <w:rsid w:val="00503661"/>
    <w:rsid w:val="00512246"/>
    <w:rsid w:val="00516B28"/>
    <w:rsid w:val="005214BD"/>
    <w:rsid w:val="00521A71"/>
    <w:rsid w:val="005326AD"/>
    <w:rsid w:val="00537791"/>
    <w:rsid w:val="005511AC"/>
    <w:rsid w:val="005536DD"/>
    <w:rsid w:val="00553988"/>
    <w:rsid w:val="00556F41"/>
    <w:rsid w:val="00562219"/>
    <w:rsid w:val="005659B9"/>
    <w:rsid w:val="00570ECA"/>
    <w:rsid w:val="00571632"/>
    <w:rsid w:val="005729E4"/>
    <w:rsid w:val="00573F61"/>
    <w:rsid w:val="00574535"/>
    <w:rsid w:val="005806EB"/>
    <w:rsid w:val="0058607C"/>
    <w:rsid w:val="005864C2"/>
    <w:rsid w:val="00594D96"/>
    <w:rsid w:val="00597275"/>
    <w:rsid w:val="005A124E"/>
    <w:rsid w:val="005A55D9"/>
    <w:rsid w:val="005A6E21"/>
    <w:rsid w:val="005A730F"/>
    <w:rsid w:val="005B2C96"/>
    <w:rsid w:val="005B42B1"/>
    <w:rsid w:val="005B74C4"/>
    <w:rsid w:val="005C0C9C"/>
    <w:rsid w:val="005C2C73"/>
    <w:rsid w:val="005C44F8"/>
    <w:rsid w:val="005C4FC6"/>
    <w:rsid w:val="005C64CA"/>
    <w:rsid w:val="005C6FB2"/>
    <w:rsid w:val="005D6E7A"/>
    <w:rsid w:val="005E0A71"/>
    <w:rsid w:val="005E60C9"/>
    <w:rsid w:val="005E7C51"/>
    <w:rsid w:val="005F0099"/>
    <w:rsid w:val="005F5E24"/>
    <w:rsid w:val="005F7726"/>
    <w:rsid w:val="0060029E"/>
    <w:rsid w:val="0060063B"/>
    <w:rsid w:val="0060148B"/>
    <w:rsid w:val="00612339"/>
    <w:rsid w:val="00615381"/>
    <w:rsid w:val="00617892"/>
    <w:rsid w:val="0062785F"/>
    <w:rsid w:val="00631723"/>
    <w:rsid w:val="00634945"/>
    <w:rsid w:val="00651FEF"/>
    <w:rsid w:val="00652EA7"/>
    <w:rsid w:val="0065654E"/>
    <w:rsid w:val="0065743B"/>
    <w:rsid w:val="0066201C"/>
    <w:rsid w:val="00662878"/>
    <w:rsid w:val="006630F4"/>
    <w:rsid w:val="006733DC"/>
    <w:rsid w:val="00677F6D"/>
    <w:rsid w:val="00680442"/>
    <w:rsid w:val="00680A6D"/>
    <w:rsid w:val="006814B0"/>
    <w:rsid w:val="00681B9E"/>
    <w:rsid w:val="006847FB"/>
    <w:rsid w:val="00686CDB"/>
    <w:rsid w:val="00693A21"/>
    <w:rsid w:val="00694714"/>
    <w:rsid w:val="00694A79"/>
    <w:rsid w:val="006A0EDB"/>
    <w:rsid w:val="006A4BF7"/>
    <w:rsid w:val="006A7119"/>
    <w:rsid w:val="006B2A21"/>
    <w:rsid w:val="006B2ED3"/>
    <w:rsid w:val="006B5306"/>
    <w:rsid w:val="006B60D7"/>
    <w:rsid w:val="006C0C35"/>
    <w:rsid w:val="006C1A35"/>
    <w:rsid w:val="006C256A"/>
    <w:rsid w:val="006C4122"/>
    <w:rsid w:val="006C47F9"/>
    <w:rsid w:val="006C6373"/>
    <w:rsid w:val="006D0270"/>
    <w:rsid w:val="006D0390"/>
    <w:rsid w:val="006D0BC8"/>
    <w:rsid w:val="006D2D48"/>
    <w:rsid w:val="006D31D4"/>
    <w:rsid w:val="006D4564"/>
    <w:rsid w:val="006D5109"/>
    <w:rsid w:val="006D6FB8"/>
    <w:rsid w:val="006E0977"/>
    <w:rsid w:val="006F20A3"/>
    <w:rsid w:val="006F5AC4"/>
    <w:rsid w:val="006F618E"/>
    <w:rsid w:val="007008A8"/>
    <w:rsid w:val="007015E4"/>
    <w:rsid w:val="00704758"/>
    <w:rsid w:val="00705D19"/>
    <w:rsid w:val="00705E22"/>
    <w:rsid w:val="0071001A"/>
    <w:rsid w:val="00710E0C"/>
    <w:rsid w:val="007129DF"/>
    <w:rsid w:val="00714E73"/>
    <w:rsid w:val="00716CBD"/>
    <w:rsid w:val="007205A8"/>
    <w:rsid w:val="007230D1"/>
    <w:rsid w:val="00725824"/>
    <w:rsid w:val="00733696"/>
    <w:rsid w:val="0074695E"/>
    <w:rsid w:val="00747891"/>
    <w:rsid w:val="00752FF9"/>
    <w:rsid w:val="007534FA"/>
    <w:rsid w:val="00753965"/>
    <w:rsid w:val="0075583C"/>
    <w:rsid w:val="0075709C"/>
    <w:rsid w:val="00757360"/>
    <w:rsid w:val="00760A0F"/>
    <w:rsid w:val="007675F1"/>
    <w:rsid w:val="00771050"/>
    <w:rsid w:val="00773DE1"/>
    <w:rsid w:val="00790320"/>
    <w:rsid w:val="00790967"/>
    <w:rsid w:val="007A201C"/>
    <w:rsid w:val="007A3210"/>
    <w:rsid w:val="007A703C"/>
    <w:rsid w:val="007A74A5"/>
    <w:rsid w:val="007B42CB"/>
    <w:rsid w:val="007C246F"/>
    <w:rsid w:val="007C41D2"/>
    <w:rsid w:val="007D131D"/>
    <w:rsid w:val="007D2BD0"/>
    <w:rsid w:val="007D3510"/>
    <w:rsid w:val="007D3D0D"/>
    <w:rsid w:val="007D63E7"/>
    <w:rsid w:val="007E039B"/>
    <w:rsid w:val="007E0E55"/>
    <w:rsid w:val="007E3CE2"/>
    <w:rsid w:val="007E3FBB"/>
    <w:rsid w:val="007F1956"/>
    <w:rsid w:val="008151D7"/>
    <w:rsid w:val="00817AF1"/>
    <w:rsid w:val="008222C9"/>
    <w:rsid w:val="0082619F"/>
    <w:rsid w:val="008361DC"/>
    <w:rsid w:val="00841196"/>
    <w:rsid w:val="008436C2"/>
    <w:rsid w:val="008444BE"/>
    <w:rsid w:val="008602AB"/>
    <w:rsid w:val="008653D4"/>
    <w:rsid w:val="00877068"/>
    <w:rsid w:val="00881C5C"/>
    <w:rsid w:val="00887028"/>
    <w:rsid w:val="00890099"/>
    <w:rsid w:val="00890AA1"/>
    <w:rsid w:val="008924E6"/>
    <w:rsid w:val="008932B0"/>
    <w:rsid w:val="008976F1"/>
    <w:rsid w:val="008A102E"/>
    <w:rsid w:val="008A4298"/>
    <w:rsid w:val="008A55DF"/>
    <w:rsid w:val="008A67FA"/>
    <w:rsid w:val="008A6FED"/>
    <w:rsid w:val="008B36B9"/>
    <w:rsid w:val="008B39EC"/>
    <w:rsid w:val="008C0649"/>
    <w:rsid w:val="008C56B7"/>
    <w:rsid w:val="008D028B"/>
    <w:rsid w:val="008D1BAA"/>
    <w:rsid w:val="008D33A1"/>
    <w:rsid w:val="008D5532"/>
    <w:rsid w:val="008D6188"/>
    <w:rsid w:val="008D654D"/>
    <w:rsid w:val="008D78B0"/>
    <w:rsid w:val="008E1348"/>
    <w:rsid w:val="008E42F4"/>
    <w:rsid w:val="008E50BB"/>
    <w:rsid w:val="008E7D36"/>
    <w:rsid w:val="008F15F6"/>
    <w:rsid w:val="008F5367"/>
    <w:rsid w:val="008F5F52"/>
    <w:rsid w:val="008F7633"/>
    <w:rsid w:val="0090713F"/>
    <w:rsid w:val="00912157"/>
    <w:rsid w:val="009144B7"/>
    <w:rsid w:val="00915AAC"/>
    <w:rsid w:val="009162C1"/>
    <w:rsid w:val="0091780D"/>
    <w:rsid w:val="0092088A"/>
    <w:rsid w:val="00920A96"/>
    <w:rsid w:val="00921C1A"/>
    <w:rsid w:val="00923F58"/>
    <w:rsid w:val="0093479B"/>
    <w:rsid w:val="009359C2"/>
    <w:rsid w:val="00937B24"/>
    <w:rsid w:val="00941263"/>
    <w:rsid w:val="00941F7E"/>
    <w:rsid w:val="00943399"/>
    <w:rsid w:val="0094355C"/>
    <w:rsid w:val="00945901"/>
    <w:rsid w:val="0095009F"/>
    <w:rsid w:val="00951162"/>
    <w:rsid w:val="009562FD"/>
    <w:rsid w:val="009577F8"/>
    <w:rsid w:val="0096158E"/>
    <w:rsid w:val="009624DA"/>
    <w:rsid w:val="00963F07"/>
    <w:rsid w:val="00964249"/>
    <w:rsid w:val="00980BC0"/>
    <w:rsid w:val="00981C6F"/>
    <w:rsid w:val="0098210E"/>
    <w:rsid w:val="0098212B"/>
    <w:rsid w:val="00982148"/>
    <w:rsid w:val="009821E6"/>
    <w:rsid w:val="00982842"/>
    <w:rsid w:val="00983039"/>
    <w:rsid w:val="00983923"/>
    <w:rsid w:val="00985DB0"/>
    <w:rsid w:val="009865AA"/>
    <w:rsid w:val="00986F5E"/>
    <w:rsid w:val="009871CD"/>
    <w:rsid w:val="00992F06"/>
    <w:rsid w:val="00994C14"/>
    <w:rsid w:val="00995BF0"/>
    <w:rsid w:val="0099640A"/>
    <w:rsid w:val="009A61DB"/>
    <w:rsid w:val="009B054F"/>
    <w:rsid w:val="009B1303"/>
    <w:rsid w:val="009B3D1D"/>
    <w:rsid w:val="009C15F2"/>
    <w:rsid w:val="009C4668"/>
    <w:rsid w:val="009C56D6"/>
    <w:rsid w:val="009D5AF2"/>
    <w:rsid w:val="009E4553"/>
    <w:rsid w:val="009E541A"/>
    <w:rsid w:val="009F078E"/>
    <w:rsid w:val="009F23C0"/>
    <w:rsid w:val="00A013E4"/>
    <w:rsid w:val="00A03A3F"/>
    <w:rsid w:val="00A04AEE"/>
    <w:rsid w:val="00A1115A"/>
    <w:rsid w:val="00A12BDF"/>
    <w:rsid w:val="00A17DFD"/>
    <w:rsid w:val="00A2091E"/>
    <w:rsid w:val="00A23B93"/>
    <w:rsid w:val="00A25584"/>
    <w:rsid w:val="00A2618D"/>
    <w:rsid w:val="00A3450B"/>
    <w:rsid w:val="00A3464A"/>
    <w:rsid w:val="00A37A06"/>
    <w:rsid w:val="00A4028B"/>
    <w:rsid w:val="00A449B4"/>
    <w:rsid w:val="00A510FA"/>
    <w:rsid w:val="00A52257"/>
    <w:rsid w:val="00A54F8B"/>
    <w:rsid w:val="00A626AE"/>
    <w:rsid w:val="00A7079F"/>
    <w:rsid w:val="00A70DD5"/>
    <w:rsid w:val="00A71051"/>
    <w:rsid w:val="00A806D4"/>
    <w:rsid w:val="00A83E01"/>
    <w:rsid w:val="00A90230"/>
    <w:rsid w:val="00A9582E"/>
    <w:rsid w:val="00A97839"/>
    <w:rsid w:val="00AA4CC9"/>
    <w:rsid w:val="00AA64CB"/>
    <w:rsid w:val="00AB42FA"/>
    <w:rsid w:val="00AB5D4E"/>
    <w:rsid w:val="00AB69C2"/>
    <w:rsid w:val="00AC25AF"/>
    <w:rsid w:val="00AD1DCF"/>
    <w:rsid w:val="00AD5D11"/>
    <w:rsid w:val="00AD5FEA"/>
    <w:rsid w:val="00AD735E"/>
    <w:rsid w:val="00AE0E00"/>
    <w:rsid w:val="00AE0F66"/>
    <w:rsid w:val="00AE4664"/>
    <w:rsid w:val="00AE47F8"/>
    <w:rsid w:val="00AF0759"/>
    <w:rsid w:val="00AF47CA"/>
    <w:rsid w:val="00AF6126"/>
    <w:rsid w:val="00B044E0"/>
    <w:rsid w:val="00B07446"/>
    <w:rsid w:val="00B1252E"/>
    <w:rsid w:val="00B1276D"/>
    <w:rsid w:val="00B14552"/>
    <w:rsid w:val="00B1559A"/>
    <w:rsid w:val="00B16296"/>
    <w:rsid w:val="00B26185"/>
    <w:rsid w:val="00B31475"/>
    <w:rsid w:val="00B379FE"/>
    <w:rsid w:val="00B37C88"/>
    <w:rsid w:val="00B40A15"/>
    <w:rsid w:val="00B46B6C"/>
    <w:rsid w:val="00B5377B"/>
    <w:rsid w:val="00B53C74"/>
    <w:rsid w:val="00B54025"/>
    <w:rsid w:val="00B55F8E"/>
    <w:rsid w:val="00B70B8D"/>
    <w:rsid w:val="00B72D03"/>
    <w:rsid w:val="00B72EB5"/>
    <w:rsid w:val="00B80AA2"/>
    <w:rsid w:val="00B81A2A"/>
    <w:rsid w:val="00B87F18"/>
    <w:rsid w:val="00B9164B"/>
    <w:rsid w:val="00B92507"/>
    <w:rsid w:val="00B97240"/>
    <w:rsid w:val="00BA036B"/>
    <w:rsid w:val="00BA0A65"/>
    <w:rsid w:val="00BA7CAB"/>
    <w:rsid w:val="00BB49D1"/>
    <w:rsid w:val="00BC2D47"/>
    <w:rsid w:val="00BC3BE0"/>
    <w:rsid w:val="00BC5BDE"/>
    <w:rsid w:val="00BD2673"/>
    <w:rsid w:val="00BD3D70"/>
    <w:rsid w:val="00BF21E1"/>
    <w:rsid w:val="00BF68C4"/>
    <w:rsid w:val="00BF6995"/>
    <w:rsid w:val="00C00233"/>
    <w:rsid w:val="00C0256D"/>
    <w:rsid w:val="00C056B5"/>
    <w:rsid w:val="00C068D3"/>
    <w:rsid w:val="00C12118"/>
    <w:rsid w:val="00C1346C"/>
    <w:rsid w:val="00C13851"/>
    <w:rsid w:val="00C138BA"/>
    <w:rsid w:val="00C13B8A"/>
    <w:rsid w:val="00C1655C"/>
    <w:rsid w:val="00C203BC"/>
    <w:rsid w:val="00C22569"/>
    <w:rsid w:val="00C252C9"/>
    <w:rsid w:val="00C27C0F"/>
    <w:rsid w:val="00C27D31"/>
    <w:rsid w:val="00C36C06"/>
    <w:rsid w:val="00C41818"/>
    <w:rsid w:val="00C43566"/>
    <w:rsid w:val="00C451F6"/>
    <w:rsid w:val="00C51FCD"/>
    <w:rsid w:val="00C6451A"/>
    <w:rsid w:val="00C70345"/>
    <w:rsid w:val="00C72D51"/>
    <w:rsid w:val="00C742BD"/>
    <w:rsid w:val="00C87697"/>
    <w:rsid w:val="00C920C3"/>
    <w:rsid w:val="00C93B7F"/>
    <w:rsid w:val="00C956D1"/>
    <w:rsid w:val="00C959B1"/>
    <w:rsid w:val="00C9775E"/>
    <w:rsid w:val="00CA33EA"/>
    <w:rsid w:val="00CA49CE"/>
    <w:rsid w:val="00CA7E3D"/>
    <w:rsid w:val="00CB33C2"/>
    <w:rsid w:val="00CB6FE1"/>
    <w:rsid w:val="00CC2BF2"/>
    <w:rsid w:val="00CD0CCF"/>
    <w:rsid w:val="00CD3874"/>
    <w:rsid w:val="00CD4B62"/>
    <w:rsid w:val="00CD5119"/>
    <w:rsid w:val="00CF0A9F"/>
    <w:rsid w:val="00CF1674"/>
    <w:rsid w:val="00CF66E2"/>
    <w:rsid w:val="00CF7CD1"/>
    <w:rsid w:val="00D03485"/>
    <w:rsid w:val="00D06340"/>
    <w:rsid w:val="00D06A86"/>
    <w:rsid w:val="00D07AE2"/>
    <w:rsid w:val="00D12062"/>
    <w:rsid w:val="00D21DC9"/>
    <w:rsid w:val="00D27018"/>
    <w:rsid w:val="00D338FE"/>
    <w:rsid w:val="00D3701C"/>
    <w:rsid w:val="00D4182E"/>
    <w:rsid w:val="00D429EC"/>
    <w:rsid w:val="00D45094"/>
    <w:rsid w:val="00D468A9"/>
    <w:rsid w:val="00D471EC"/>
    <w:rsid w:val="00D54EF1"/>
    <w:rsid w:val="00D5623D"/>
    <w:rsid w:val="00D5681A"/>
    <w:rsid w:val="00D61C2E"/>
    <w:rsid w:val="00D653A5"/>
    <w:rsid w:val="00D66AD6"/>
    <w:rsid w:val="00D673C7"/>
    <w:rsid w:val="00D67925"/>
    <w:rsid w:val="00D679B1"/>
    <w:rsid w:val="00D756BB"/>
    <w:rsid w:val="00D80436"/>
    <w:rsid w:val="00D83E0E"/>
    <w:rsid w:val="00D94134"/>
    <w:rsid w:val="00DA18E5"/>
    <w:rsid w:val="00DA1E47"/>
    <w:rsid w:val="00DA41E0"/>
    <w:rsid w:val="00DB1F7C"/>
    <w:rsid w:val="00DB3D3B"/>
    <w:rsid w:val="00DB5F9F"/>
    <w:rsid w:val="00DC378C"/>
    <w:rsid w:val="00DC4CF7"/>
    <w:rsid w:val="00DC4F38"/>
    <w:rsid w:val="00DC79E0"/>
    <w:rsid w:val="00DD1CB9"/>
    <w:rsid w:val="00DD4AE6"/>
    <w:rsid w:val="00DD7081"/>
    <w:rsid w:val="00DD7AD7"/>
    <w:rsid w:val="00DE0BF6"/>
    <w:rsid w:val="00DE1132"/>
    <w:rsid w:val="00DE43AF"/>
    <w:rsid w:val="00DF2435"/>
    <w:rsid w:val="00DF3AAB"/>
    <w:rsid w:val="00DF600B"/>
    <w:rsid w:val="00E024DD"/>
    <w:rsid w:val="00E02AB9"/>
    <w:rsid w:val="00E0301D"/>
    <w:rsid w:val="00E04790"/>
    <w:rsid w:val="00E05829"/>
    <w:rsid w:val="00E15577"/>
    <w:rsid w:val="00E1662F"/>
    <w:rsid w:val="00E167BB"/>
    <w:rsid w:val="00E20C02"/>
    <w:rsid w:val="00E21DD0"/>
    <w:rsid w:val="00E30613"/>
    <w:rsid w:val="00E321A4"/>
    <w:rsid w:val="00E32557"/>
    <w:rsid w:val="00E36FCD"/>
    <w:rsid w:val="00E40264"/>
    <w:rsid w:val="00E42613"/>
    <w:rsid w:val="00E44512"/>
    <w:rsid w:val="00E44BD5"/>
    <w:rsid w:val="00E45C65"/>
    <w:rsid w:val="00E505E2"/>
    <w:rsid w:val="00E545D0"/>
    <w:rsid w:val="00E55E2B"/>
    <w:rsid w:val="00E5742B"/>
    <w:rsid w:val="00E60B8D"/>
    <w:rsid w:val="00E6167D"/>
    <w:rsid w:val="00E64310"/>
    <w:rsid w:val="00E67114"/>
    <w:rsid w:val="00E71851"/>
    <w:rsid w:val="00E7533B"/>
    <w:rsid w:val="00E80A15"/>
    <w:rsid w:val="00E87597"/>
    <w:rsid w:val="00E910A7"/>
    <w:rsid w:val="00E91C2F"/>
    <w:rsid w:val="00E926CC"/>
    <w:rsid w:val="00EA3A13"/>
    <w:rsid w:val="00EA47A8"/>
    <w:rsid w:val="00EA7194"/>
    <w:rsid w:val="00EA774D"/>
    <w:rsid w:val="00EB0E6A"/>
    <w:rsid w:val="00EB42F1"/>
    <w:rsid w:val="00EB4865"/>
    <w:rsid w:val="00EC330E"/>
    <w:rsid w:val="00EC5364"/>
    <w:rsid w:val="00EC5506"/>
    <w:rsid w:val="00EC79CC"/>
    <w:rsid w:val="00EC7C80"/>
    <w:rsid w:val="00ED412B"/>
    <w:rsid w:val="00ED4E94"/>
    <w:rsid w:val="00EE3B30"/>
    <w:rsid w:val="00EE6253"/>
    <w:rsid w:val="00EE7C6B"/>
    <w:rsid w:val="00EF484F"/>
    <w:rsid w:val="00F00B42"/>
    <w:rsid w:val="00F04373"/>
    <w:rsid w:val="00F14549"/>
    <w:rsid w:val="00F1533B"/>
    <w:rsid w:val="00F17CF9"/>
    <w:rsid w:val="00F24441"/>
    <w:rsid w:val="00F3286C"/>
    <w:rsid w:val="00F33DC1"/>
    <w:rsid w:val="00F348F6"/>
    <w:rsid w:val="00F34FB7"/>
    <w:rsid w:val="00F37145"/>
    <w:rsid w:val="00F42828"/>
    <w:rsid w:val="00F42C8C"/>
    <w:rsid w:val="00F43CCC"/>
    <w:rsid w:val="00F4720A"/>
    <w:rsid w:val="00F5106D"/>
    <w:rsid w:val="00F61055"/>
    <w:rsid w:val="00F61CBE"/>
    <w:rsid w:val="00F6370E"/>
    <w:rsid w:val="00F65258"/>
    <w:rsid w:val="00F66C09"/>
    <w:rsid w:val="00F7401E"/>
    <w:rsid w:val="00F747B6"/>
    <w:rsid w:val="00F80D4C"/>
    <w:rsid w:val="00F85E6B"/>
    <w:rsid w:val="00F90409"/>
    <w:rsid w:val="00F90D52"/>
    <w:rsid w:val="00F91181"/>
    <w:rsid w:val="00F92592"/>
    <w:rsid w:val="00F93FE2"/>
    <w:rsid w:val="00F95AA8"/>
    <w:rsid w:val="00FA13EA"/>
    <w:rsid w:val="00FA6AEE"/>
    <w:rsid w:val="00FB0726"/>
    <w:rsid w:val="00FB2D66"/>
    <w:rsid w:val="00FB75AB"/>
    <w:rsid w:val="00FC3F48"/>
    <w:rsid w:val="00FD48F7"/>
    <w:rsid w:val="00FD722C"/>
    <w:rsid w:val="00FD7C35"/>
    <w:rsid w:val="00FE0307"/>
    <w:rsid w:val="00FE4F60"/>
    <w:rsid w:val="00FF14C9"/>
    <w:rsid w:val="00FF1F93"/>
    <w:rsid w:val="00FF2346"/>
    <w:rsid w:val="0BEA5F67"/>
    <w:rsid w:val="0CE32B89"/>
    <w:rsid w:val="0DE46363"/>
    <w:rsid w:val="1AC83DCF"/>
    <w:rsid w:val="1CEE51E5"/>
    <w:rsid w:val="23B05BD9"/>
    <w:rsid w:val="262D0D77"/>
    <w:rsid w:val="33BF0D95"/>
    <w:rsid w:val="34533777"/>
    <w:rsid w:val="350F6AC3"/>
    <w:rsid w:val="3FFD9F46"/>
    <w:rsid w:val="40BC3D7D"/>
    <w:rsid w:val="46E46B2F"/>
    <w:rsid w:val="4C2B013D"/>
    <w:rsid w:val="55524BDB"/>
    <w:rsid w:val="5ADC2F10"/>
    <w:rsid w:val="5F030150"/>
    <w:rsid w:val="6E330196"/>
    <w:rsid w:val="6E5B2C4D"/>
    <w:rsid w:val="77CE44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6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85"/>
    <w:qFormat/>
    <w:uiPriority w:val="9"/>
    <w:pPr>
      <w:keepNext/>
      <w:keepLines/>
      <w:spacing w:before="40" w:after="40"/>
      <w:ind w:firstLine="0" w:firstLineChars="0"/>
      <w:outlineLvl w:val="0"/>
    </w:pPr>
    <w:rPr>
      <w:rFonts w:eastAsia="黑体" w:asciiTheme="minorHAnsi" w:hAnsiTheme="minorHAnsi" w:cstheme="minorBidi"/>
      <w:bCs/>
      <w:kern w:val="44"/>
      <w:sz w:val="36"/>
      <w:szCs w:val="44"/>
    </w:rPr>
  </w:style>
  <w:style w:type="paragraph" w:styleId="3">
    <w:name w:val="heading 2"/>
    <w:basedOn w:val="1"/>
    <w:next w:val="1"/>
    <w:link w:val="57"/>
    <w:qFormat/>
    <w:uiPriority w:val="0"/>
    <w:pPr>
      <w:keepNext/>
      <w:keepLines/>
      <w:ind w:firstLine="0" w:firstLineChars="0"/>
      <w:outlineLvl w:val="1"/>
    </w:pPr>
    <w:rPr>
      <w:rFonts w:ascii="Arial" w:hAnsi="Arial" w:eastAsia="仿宋_GB2312"/>
      <w:b/>
      <w:bCs/>
      <w:sz w:val="32"/>
      <w:szCs w:val="32"/>
      <w:lang w:val="zh-CN"/>
    </w:rPr>
  </w:style>
  <w:style w:type="paragraph" w:styleId="4">
    <w:name w:val="heading 3"/>
    <w:basedOn w:val="1"/>
    <w:next w:val="1"/>
    <w:link w:val="58"/>
    <w:unhideWhenUsed/>
    <w:qFormat/>
    <w:uiPriority w:val="9"/>
    <w:pPr>
      <w:keepNext/>
      <w:keepLines/>
      <w:ind w:firstLine="0" w:firstLineChars="0"/>
      <w:outlineLvl w:val="2"/>
    </w:pPr>
    <w:rPr>
      <w:rFonts w:eastAsia="黑体"/>
      <w:bCs/>
      <w:szCs w:val="32"/>
      <w:lang w:val="zh-CN"/>
    </w:rPr>
  </w:style>
  <w:style w:type="paragraph" w:styleId="5">
    <w:name w:val="heading 4"/>
    <w:basedOn w:val="1"/>
    <w:next w:val="1"/>
    <w:link w:val="59"/>
    <w:qFormat/>
    <w:uiPriority w:val="9"/>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0"/>
    <w:qFormat/>
    <w:uiPriority w:val="0"/>
    <w:pPr>
      <w:keepNext/>
      <w:keepLines/>
      <w:spacing w:before="280" w:after="290" w:line="374" w:lineRule="auto"/>
      <w:outlineLvl w:val="4"/>
    </w:pPr>
    <w:rPr>
      <w:b/>
      <w:bCs/>
      <w:sz w:val="28"/>
      <w:szCs w:val="28"/>
    </w:rPr>
  </w:style>
  <w:style w:type="paragraph" w:styleId="7">
    <w:name w:val="heading 6"/>
    <w:basedOn w:val="1"/>
    <w:next w:val="1"/>
    <w:link w:val="61"/>
    <w:qFormat/>
    <w:uiPriority w:val="0"/>
    <w:pPr>
      <w:keepNext/>
      <w:keepLines/>
      <w:spacing w:before="240" w:after="64" w:line="319" w:lineRule="auto"/>
      <w:outlineLvl w:val="5"/>
    </w:pPr>
    <w:rPr>
      <w:rFonts w:ascii="Arial" w:hAnsi="Arial" w:eastAsia="黑体"/>
      <w:b/>
      <w:bCs/>
    </w:rPr>
  </w:style>
  <w:style w:type="paragraph" w:styleId="8">
    <w:name w:val="heading 7"/>
    <w:basedOn w:val="1"/>
    <w:next w:val="1"/>
    <w:link w:val="62"/>
    <w:qFormat/>
    <w:uiPriority w:val="0"/>
    <w:pPr>
      <w:keepNext/>
      <w:keepLines/>
      <w:spacing w:before="240" w:after="64" w:line="319" w:lineRule="auto"/>
      <w:outlineLvl w:val="6"/>
    </w:pPr>
    <w:rPr>
      <w:b/>
      <w:bCs/>
    </w:rPr>
  </w:style>
  <w:style w:type="paragraph" w:styleId="9">
    <w:name w:val="heading 8"/>
    <w:basedOn w:val="1"/>
    <w:next w:val="1"/>
    <w:link w:val="63"/>
    <w:qFormat/>
    <w:uiPriority w:val="0"/>
    <w:pPr>
      <w:keepNext/>
      <w:keepLines/>
      <w:spacing w:before="240" w:after="64" w:line="319" w:lineRule="auto"/>
      <w:outlineLvl w:val="7"/>
    </w:pPr>
    <w:rPr>
      <w:rFonts w:ascii="Arial" w:hAnsi="Arial" w:eastAsia="黑体"/>
    </w:rPr>
  </w:style>
  <w:style w:type="paragraph" w:styleId="10">
    <w:name w:val="heading 9"/>
    <w:basedOn w:val="1"/>
    <w:next w:val="1"/>
    <w:link w:val="64"/>
    <w:qFormat/>
    <w:uiPriority w:val="0"/>
    <w:pPr>
      <w:keepNext/>
      <w:keepLines/>
      <w:spacing w:before="240" w:after="64" w:line="319"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1260"/>
      <w:jc w:val="left"/>
    </w:pPr>
    <w:rPr>
      <w:rFonts w:asciiTheme="minorHAnsi" w:hAnsiTheme="minorHAnsi" w:cstheme="minorHAnsi"/>
      <w:sz w:val="20"/>
      <w:szCs w:val="20"/>
    </w:rPr>
  </w:style>
  <w:style w:type="paragraph" w:styleId="12">
    <w:name w:val="Normal Indent"/>
    <w:basedOn w:val="1"/>
    <w:qFormat/>
    <w:uiPriority w:val="0"/>
    <w:pPr>
      <w:ind w:firstLine="420"/>
    </w:pPr>
    <w:rPr>
      <w:szCs w:val="20"/>
    </w:rPr>
  </w:style>
  <w:style w:type="paragraph" w:styleId="13">
    <w:name w:val="Document Map"/>
    <w:basedOn w:val="1"/>
    <w:link w:val="70"/>
    <w:qFormat/>
    <w:uiPriority w:val="0"/>
    <w:pPr>
      <w:shd w:val="clear" w:color="auto" w:fill="000080"/>
    </w:pPr>
  </w:style>
  <w:style w:type="paragraph" w:styleId="14">
    <w:name w:val="annotation text"/>
    <w:basedOn w:val="1"/>
    <w:link w:val="68"/>
    <w:qFormat/>
    <w:uiPriority w:val="0"/>
    <w:pPr>
      <w:jc w:val="left"/>
    </w:pPr>
    <w:rPr>
      <w:lang w:val="zh-CN"/>
    </w:rPr>
  </w:style>
  <w:style w:type="paragraph" w:styleId="15">
    <w:name w:val="Body Text"/>
    <w:basedOn w:val="1"/>
    <w:link w:val="80"/>
    <w:unhideWhenUsed/>
    <w:qFormat/>
    <w:uiPriority w:val="99"/>
    <w:pPr>
      <w:spacing w:after="120"/>
    </w:pPr>
    <w:rPr>
      <w:rFonts w:asciiTheme="minorHAnsi" w:hAnsiTheme="minorHAnsi" w:eastAsiaTheme="minorEastAsia" w:cstheme="minorBidi"/>
      <w:szCs w:val="22"/>
    </w:rPr>
  </w:style>
  <w:style w:type="paragraph" w:styleId="16">
    <w:name w:val="Body Text Indent"/>
    <w:basedOn w:val="1"/>
    <w:link w:val="81"/>
    <w:qFormat/>
    <w:uiPriority w:val="0"/>
    <w:pPr>
      <w:spacing w:line="0" w:lineRule="atLeast"/>
      <w:ind w:firstLine="630"/>
    </w:pPr>
    <w:rPr>
      <w:rFonts w:eastAsia="楷体_GB2312"/>
      <w:szCs w:val="20"/>
    </w:rPr>
  </w:style>
  <w:style w:type="paragraph" w:styleId="17">
    <w:name w:val="Block Text"/>
    <w:basedOn w:val="1"/>
    <w:qFormat/>
    <w:uiPriority w:val="0"/>
    <w:pPr>
      <w:ind w:left="-50" w:leftChars="-50" w:right="-50" w:rightChars="-50"/>
    </w:pPr>
    <w:rPr>
      <w:rFonts w:ascii="宋体" w:hAnsi="宋体"/>
      <w:color w:val="000000"/>
      <w:sz w:val="18"/>
    </w:rPr>
  </w:style>
  <w:style w:type="paragraph" w:styleId="18">
    <w:name w:val="toc 5"/>
    <w:basedOn w:val="1"/>
    <w:next w:val="1"/>
    <w:autoRedefine/>
    <w:unhideWhenUsed/>
    <w:qFormat/>
    <w:uiPriority w:val="39"/>
    <w:pPr>
      <w:ind w:left="840"/>
      <w:jc w:val="left"/>
    </w:pPr>
    <w:rPr>
      <w:rFonts w:asciiTheme="minorHAnsi" w:hAnsiTheme="minorHAnsi" w:cstheme="minorHAnsi"/>
      <w:sz w:val="20"/>
      <w:szCs w:val="20"/>
    </w:rPr>
  </w:style>
  <w:style w:type="paragraph" w:styleId="19">
    <w:name w:val="toc 3"/>
    <w:basedOn w:val="1"/>
    <w:next w:val="1"/>
    <w:unhideWhenUsed/>
    <w:qFormat/>
    <w:uiPriority w:val="39"/>
    <w:pPr>
      <w:ind w:left="420"/>
      <w:jc w:val="left"/>
    </w:pPr>
    <w:rPr>
      <w:rFonts w:asciiTheme="minorHAnsi" w:hAnsiTheme="minorHAnsi" w:cstheme="minorHAnsi"/>
      <w:sz w:val="20"/>
      <w:szCs w:val="20"/>
    </w:rPr>
  </w:style>
  <w:style w:type="paragraph" w:styleId="20">
    <w:name w:val="Plain Text"/>
    <w:basedOn w:val="1"/>
    <w:link w:val="54"/>
    <w:qFormat/>
    <w:uiPriority w:val="99"/>
    <w:rPr>
      <w:rFonts w:hint="eastAsia" w:ascii="宋体" w:hAnsi="Courier New" w:cs="Courier New"/>
      <w:szCs w:val="21"/>
    </w:rPr>
  </w:style>
  <w:style w:type="paragraph" w:styleId="21">
    <w:name w:val="toc 8"/>
    <w:basedOn w:val="1"/>
    <w:next w:val="1"/>
    <w:autoRedefine/>
    <w:unhideWhenUsed/>
    <w:qFormat/>
    <w:uiPriority w:val="39"/>
    <w:pPr>
      <w:ind w:left="1470"/>
      <w:jc w:val="left"/>
    </w:pPr>
    <w:rPr>
      <w:rFonts w:asciiTheme="minorHAnsi" w:hAnsiTheme="minorHAnsi" w:cstheme="minorHAnsi"/>
      <w:sz w:val="20"/>
      <w:szCs w:val="20"/>
    </w:rPr>
  </w:style>
  <w:style w:type="paragraph" w:styleId="22">
    <w:name w:val="Date"/>
    <w:basedOn w:val="1"/>
    <w:next w:val="1"/>
    <w:link w:val="69"/>
    <w:qFormat/>
    <w:uiPriority w:val="0"/>
    <w:pPr>
      <w:ind w:left="100" w:leftChars="2500"/>
    </w:pPr>
  </w:style>
  <w:style w:type="paragraph" w:styleId="23">
    <w:name w:val="Body Text Indent 2"/>
    <w:basedOn w:val="1"/>
    <w:link w:val="82"/>
    <w:qFormat/>
    <w:uiPriority w:val="0"/>
    <w:pPr>
      <w:widowControl/>
      <w:spacing w:before="100" w:beforeAutospacing="1" w:after="100" w:afterAutospacing="1"/>
      <w:jc w:val="left"/>
    </w:pPr>
    <w:rPr>
      <w:rFonts w:ascii="宋体" w:hAnsi="宋体" w:cs="宋体"/>
      <w:kern w:val="0"/>
    </w:rPr>
  </w:style>
  <w:style w:type="paragraph" w:styleId="24">
    <w:name w:val="endnote text"/>
    <w:basedOn w:val="1"/>
    <w:link w:val="78"/>
    <w:semiHidden/>
    <w:unhideWhenUsed/>
    <w:qFormat/>
    <w:uiPriority w:val="0"/>
    <w:pPr>
      <w:jc w:val="left"/>
    </w:pPr>
  </w:style>
  <w:style w:type="paragraph" w:styleId="25">
    <w:name w:val="Balloon Text"/>
    <w:basedOn w:val="1"/>
    <w:link w:val="66"/>
    <w:qFormat/>
    <w:uiPriority w:val="0"/>
    <w:rPr>
      <w:sz w:val="18"/>
      <w:szCs w:val="18"/>
    </w:rPr>
  </w:style>
  <w:style w:type="paragraph" w:styleId="26">
    <w:name w:val="footer"/>
    <w:basedOn w:val="1"/>
    <w:link w:val="53"/>
    <w:qFormat/>
    <w:uiPriority w:val="99"/>
    <w:pPr>
      <w:tabs>
        <w:tab w:val="center" w:pos="4153"/>
        <w:tab w:val="right" w:pos="8306"/>
      </w:tabs>
      <w:jc w:val="left"/>
    </w:pPr>
    <w:rPr>
      <w:sz w:val="18"/>
      <w:szCs w:val="18"/>
    </w:rPr>
  </w:style>
  <w:style w:type="paragraph" w:styleId="27">
    <w:name w:val="header"/>
    <w:basedOn w:val="1"/>
    <w:link w:val="52"/>
    <w:qFormat/>
    <w:uiPriority w:val="99"/>
    <w:pPr>
      <w:pBdr>
        <w:bottom w:val="single" w:color="auto" w:sz="6" w:space="1"/>
      </w:pBdr>
      <w:tabs>
        <w:tab w:val="center" w:pos="4153"/>
        <w:tab w:val="right" w:pos="8306"/>
      </w:tabs>
      <w:jc w:val="center"/>
    </w:pPr>
    <w:rPr>
      <w:sz w:val="18"/>
      <w:szCs w:val="18"/>
    </w:rPr>
  </w:style>
  <w:style w:type="paragraph" w:styleId="28">
    <w:name w:val="toc 1"/>
    <w:basedOn w:val="1"/>
    <w:next w:val="1"/>
    <w:qFormat/>
    <w:uiPriority w:val="39"/>
    <w:pPr>
      <w:ind w:firstLine="0" w:firstLineChars="0"/>
      <w:jc w:val="left"/>
    </w:pPr>
    <w:rPr>
      <w:rFonts w:eastAsia="黑体" w:asciiTheme="minorHAnsi" w:hAnsiTheme="minorHAnsi" w:cstheme="minorHAnsi"/>
      <w:bCs/>
      <w:sz w:val="28"/>
      <w:szCs w:val="20"/>
    </w:rPr>
  </w:style>
  <w:style w:type="paragraph" w:styleId="29">
    <w:name w:val="toc 4"/>
    <w:basedOn w:val="1"/>
    <w:next w:val="1"/>
    <w:autoRedefine/>
    <w:unhideWhenUsed/>
    <w:qFormat/>
    <w:uiPriority w:val="39"/>
    <w:pPr>
      <w:ind w:left="630"/>
      <w:jc w:val="left"/>
    </w:pPr>
    <w:rPr>
      <w:rFonts w:asciiTheme="minorHAnsi" w:hAnsiTheme="minorHAnsi" w:cstheme="minorHAnsi"/>
      <w:sz w:val="20"/>
      <w:szCs w:val="20"/>
    </w:rPr>
  </w:style>
  <w:style w:type="paragraph" w:styleId="30">
    <w:name w:val="Subtitle"/>
    <w:basedOn w:val="1"/>
    <w:next w:val="1"/>
    <w:link w:val="155"/>
    <w:qFormat/>
    <w:uiPriority w:val="11"/>
    <w:pPr>
      <w:spacing w:before="240" w:after="60" w:line="312" w:lineRule="auto"/>
      <w:jc w:val="center"/>
      <w:outlineLvl w:val="1"/>
    </w:pPr>
    <w:rPr>
      <w:rFonts w:asciiTheme="minorHAnsi" w:hAnsiTheme="minorHAnsi" w:cstheme="minorBidi"/>
      <w:b/>
      <w:bCs/>
      <w:kern w:val="28"/>
      <w:szCs w:val="32"/>
    </w:rPr>
  </w:style>
  <w:style w:type="paragraph" w:styleId="31">
    <w:name w:val="footnote text"/>
    <w:basedOn w:val="1"/>
    <w:link w:val="76"/>
    <w:qFormat/>
    <w:uiPriority w:val="0"/>
    <w:pPr>
      <w:jc w:val="left"/>
    </w:pPr>
    <w:rPr>
      <w:sz w:val="18"/>
      <w:szCs w:val="18"/>
      <w:lang w:val="zh-CN"/>
    </w:rPr>
  </w:style>
  <w:style w:type="paragraph" w:styleId="32">
    <w:name w:val="toc 6"/>
    <w:basedOn w:val="1"/>
    <w:next w:val="1"/>
    <w:autoRedefine/>
    <w:unhideWhenUsed/>
    <w:qFormat/>
    <w:uiPriority w:val="39"/>
    <w:pPr>
      <w:ind w:left="1050"/>
      <w:jc w:val="left"/>
    </w:pPr>
    <w:rPr>
      <w:rFonts w:asciiTheme="minorHAnsi" w:hAnsiTheme="minorHAnsi" w:cstheme="minorHAnsi"/>
      <w:sz w:val="20"/>
      <w:szCs w:val="20"/>
    </w:rPr>
  </w:style>
  <w:style w:type="paragraph" w:styleId="33">
    <w:name w:val="Body Text Indent 3"/>
    <w:basedOn w:val="1"/>
    <w:link w:val="83"/>
    <w:qFormat/>
    <w:uiPriority w:val="0"/>
    <w:pPr>
      <w:ind w:firstLine="422"/>
    </w:pPr>
    <w:rPr>
      <w:szCs w:val="20"/>
    </w:rPr>
  </w:style>
  <w:style w:type="paragraph" w:styleId="34">
    <w:name w:val="toc 2"/>
    <w:basedOn w:val="1"/>
    <w:next w:val="1"/>
    <w:qFormat/>
    <w:uiPriority w:val="39"/>
    <w:pPr>
      <w:ind w:firstLine="0" w:firstLineChars="0"/>
      <w:jc w:val="left"/>
    </w:pPr>
    <w:rPr>
      <w:rFonts w:eastAsia="仿宋_GB2312" w:asciiTheme="minorHAnsi" w:hAnsiTheme="minorHAnsi" w:cstheme="minorHAnsi"/>
      <w:iCs/>
      <w:sz w:val="28"/>
      <w:szCs w:val="20"/>
    </w:rPr>
  </w:style>
  <w:style w:type="paragraph" w:styleId="35">
    <w:name w:val="toc 9"/>
    <w:basedOn w:val="1"/>
    <w:next w:val="1"/>
    <w:autoRedefine/>
    <w:unhideWhenUsed/>
    <w:qFormat/>
    <w:uiPriority w:val="39"/>
    <w:pPr>
      <w:ind w:left="1680"/>
      <w:jc w:val="left"/>
    </w:pPr>
    <w:rPr>
      <w:rFonts w:asciiTheme="minorHAnsi" w:hAnsiTheme="minorHAnsi" w:cstheme="minorHAnsi"/>
      <w:sz w:val="20"/>
      <w:szCs w:val="20"/>
    </w:rPr>
  </w:style>
  <w:style w:type="paragraph" w:styleId="36">
    <w:name w:val="Body Text 2"/>
    <w:basedOn w:val="1"/>
    <w:link w:val="71"/>
    <w:qFormat/>
    <w:uiPriority w:val="0"/>
    <w:pPr>
      <w:spacing w:after="120" w:line="480" w:lineRule="auto"/>
    </w:pPr>
    <w:rPr>
      <w:lang w:val="zh-CN"/>
    </w:rPr>
  </w:style>
  <w:style w:type="paragraph" w:styleId="37">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38">
    <w:name w:val="Normal (Web)"/>
    <w:basedOn w:val="1"/>
    <w:qFormat/>
    <w:uiPriority w:val="99"/>
    <w:pPr>
      <w:widowControl/>
      <w:spacing w:before="100" w:beforeAutospacing="1" w:after="100" w:afterAutospacing="1"/>
      <w:jc w:val="left"/>
    </w:pPr>
    <w:rPr>
      <w:rFonts w:ascii="宋体" w:hAnsi="宋体" w:cs="宋体"/>
      <w:kern w:val="0"/>
    </w:rPr>
  </w:style>
  <w:style w:type="paragraph" w:styleId="39">
    <w:name w:val="Title"/>
    <w:basedOn w:val="1"/>
    <w:next w:val="1"/>
    <w:link w:val="65"/>
    <w:qFormat/>
    <w:uiPriority w:val="0"/>
    <w:pPr>
      <w:spacing w:before="100" w:beforeAutospacing="1" w:after="100" w:afterAutospacing="1" w:line="360" w:lineRule="auto"/>
      <w:ind w:firstLine="0" w:firstLineChars="0"/>
      <w:jc w:val="center"/>
      <w:outlineLvl w:val="0"/>
    </w:pPr>
    <w:rPr>
      <w:rFonts w:ascii="Cambria" w:hAnsi="Cambria" w:eastAsia="方正小标宋简体"/>
      <w:bCs/>
      <w:kern w:val="0"/>
      <w:sz w:val="60"/>
      <w:szCs w:val="32"/>
    </w:rPr>
  </w:style>
  <w:style w:type="paragraph" w:styleId="40">
    <w:name w:val="annotation subject"/>
    <w:basedOn w:val="14"/>
    <w:next w:val="14"/>
    <w:link w:val="75"/>
    <w:qFormat/>
    <w:uiPriority w:val="0"/>
    <w:rPr>
      <w:b/>
      <w:bCs/>
    </w:rPr>
  </w:style>
  <w:style w:type="table" w:styleId="42">
    <w:name w:val="Table Grid"/>
    <w:basedOn w:val="4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22"/>
    <w:rPr>
      <w:b/>
    </w:rPr>
  </w:style>
  <w:style w:type="character" w:styleId="45">
    <w:name w:val="endnote reference"/>
    <w:basedOn w:val="43"/>
    <w:semiHidden/>
    <w:unhideWhenUsed/>
    <w:qFormat/>
    <w:uiPriority w:val="0"/>
    <w:rPr>
      <w:vertAlign w:val="superscript"/>
    </w:rPr>
  </w:style>
  <w:style w:type="character" w:styleId="46">
    <w:name w:val="page number"/>
    <w:basedOn w:val="43"/>
    <w:qFormat/>
    <w:uiPriority w:val="0"/>
  </w:style>
  <w:style w:type="character" w:styleId="47">
    <w:name w:val="FollowedHyperlink"/>
    <w:qFormat/>
    <w:uiPriority w:val="0"/>
    <w:rPr>
      <w:color w:val="800080"/>
      <w:u w:val="single"/>
    </w:rPr>
  </w:style>
  <w:style w:type="character" w:styleId="48">
    <w:name w:val="Emphasis"/>
    <w:qFormat/>
    <w:uiPriority w:val="0"/>
    <w:rPr>
      <w:color w:val="CC0000"/>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页眉 字符"/>
    <w:basedOn w:val="43"/>
    <w:link w:val="27"/>
    <w:qFormat/>
    <w:uiPriority w:val="99"/>
    <w:rPr>
      <w:kern w:val="2"/>
      <w:sz w:val="18"/>
      <w:szCs w:val="18"/>
    </w:rPr>
  </w:style>
  <w:style w:type="character" w:customStyle="1" w:styleId="53">
    <w:name w:val="页脚 字符"/>
    <w:basedOn w:val="43"/>
    <w:link w:val="26"/>
    <w:qFormat/>
    <w:uiPriority w:val="99"/>
    <w:rPr>
      <w:kern w:val="2"/>
      <w:sz w:val="18"/>
      <w:szCs w:val="18"/>
    </w:rPr>
  </w:style>
  <w:style w:type="character" w:customStyle="1" w:styleId="54">
    <w:name w:val="纯文本 字符"/>
    <w:basedOn w:val="43"/>
    <w:link w:val="20"/>
    <w:qFormat/>
    <w:uiPriority w:val="99"/>
    <w:rPr>
      <w:rFonts w:ascii="宋体" w:hAnsi="Courier New" w:cs="Courier New"/>
      <w:kern w:val="2"/>
      <w:sz w:val="21"/>
      <w:szCs w:val="21"/>
    </w:rPr>
  </w:style>
  <w:style w:type="paragraph" w:styleId="55">
    <w:name w:val="List Paragraph"/>
    <w:basedOn w:val="1"/>
    <w:qFormat/>
    <w:uiPriority w:val="34"/>
    <w:pPr>
      <w:ind w:firstLine="420"/>
    </w:pPr>
  </w:style>
  <w:style w:type="character" w:customStyle="1" w:styleId="56">
    <w:name w:val="标题 1 字符"/>
    <w:basedOn w:val="43"/>
    <w:qFormat/>
    <w:uiPriority w:val="9"/>
    <w:rPr>
      <w:b/>
      <w:bCs/>
      <w:kern w:val="44"/>
      <w:sz w:val="44"/>
      <w:szCs w:val="44"/>
    </w:rPr>
  </w:style>
  <w:style w:type="character" w:customStyle="1" w:styleId="57">
    <w:name w:val="标题 2 字符"/>
    <w:basedOn w:val="43"/>
    <w:link w:val="3"/>
    <w:qFormat/>
    <w:uiPriority w:val="0"/>
    <w:rPr>
      <w:rFonts w:ascii="Arial" w:hAnsi="Arial" w:eastAsia="仿宋_GB2312"/>
      <w:b/>
      <w:bCs/>
      <w:kern w:val="2"/>
      <w:sz w:val="32"/>
      <w:szCs w:val="32"/>
      <w:lang w:val="zh-CN" w:eastAsia="zh-CN"/>
    </w:rPr>
  </w:style>
  <w:style w:type="character" w:customStyle="1" w:styleId="58">
    <w:name w:val="标题 3 字符"/>
    <w:basedOn w:val="43"/>
    <w:link w:val="4"/>
    <w:qFormat/>
    <w:uiPriority w:val="9"/>
    <w:rPr>
      <w:rFonts w:eastAsia="黑体"/>
      <w:bCs/>
      <w:kern w:val="2"/>
      <w:sz w:val="24"/>
      <w:szCs w:val="32"/>
      <w:lang w:val="zh-CN" w:eastAsia="zh-CN"/>
    </w:rPr>
  </w:style>
  <w:style w:type="character" w:customStyle="1" w:styleId="59">
    <w:name w:val="标题 4 字符"/>
    <w:basedOn w:val="43"/>
    <w:link w:val="5"/>
    <w:qFormat/>
    <w:uiPriority w:val="9"/>
    <w:rPr>
      <w:rFonts w:ascii="Arial" w:hAnsi="Arial" w:eastAsia="黑体"/>
      <w:b/>
      <w:bCs/>
      <w:kern w:val="2"/>
      <w:sz w:val="28"/>
      <w:szCs w:val="28"/>
    </w:rPr>
  </w:style>
  <w:style w:type="character" w:customStyle="1" w:styleId="60">
    <w:name w:val="标题 5 字符"/>
    <w:basedOn w:val="43"/>
    <w:link w:val="6"/>
    <w:qFormat/>
    <w:uiPriority w:val="0"/>
    <w:rPr>
      <w:b/>
      <w:bCs/>
      <w:kern w:val="2"/>
      <w:sz w:val="28"/>
      <w:szCs w:val="28"/>
    </w:rPr>
  </w:style>
  <w:style w:type="character" w:customStyle="1" w:styleId="61">
    <w:name w:val="标题 6 字符"/>
    <w:basedOn w:val="43"/>
    <w:link w:val="7"/>
    <w:qFormat/>
    <w:uiPriority w:val="0"/>
    <w:rPr>
      <w:rFonts w:ascii="Arial" w:hAnsi="Arial" w:eastAsia="黑体"/>
      <w:b/>
      <w:bCs/>
      <w:kern w:val="2"/>
      <w:sz w:val="24"/>
      <w:szCs w:val="24"/>
    </w:rPr>
  </w:style>
  <w:style w:type="character" w:customStyle="1" w:styleId="62">
    <w:name w:val="标题 7 字符"/>
    <w:basedOn w:val="43"/>
    <w:link w:val="8"/>
    <w:qFormat/>
    <w:uiPriority w:val="0"/>
    <w:rPr>
      <w:b/>
      <w:bCs/>
      <w:kern w:val="2"/>
      <w:sz w:val="24"/>
      <w:szCs w:val="24"/>
    </w:rPr>
  </w:style>
  <w:style w:type="character" w:customStyle="1" w:styleId="63">
    <w:name w:val="标题 8 字符"/>
    <w:basedOn w:val="43"/>
    <w:link w:val="9"/>
    <w:qFormat/>
    <w:uiPriority w:val="0"/>
    <w:rPr>
      <w:rFonts w:ascii="Arial" w:hAnsi="Arial" w:eastAsia="黑体"/>
      <w:kern w:val="2"/>
      <w:sz w:val="24"/>
      <w:szCs w:val="24"/>
    </w:rPr>
  </w:style>
  <w:style w:type="character" w:customStyle="1" w:styleId="64">
    <w:name w:val="标题 9 字符"/>
    <w:basedOn w:val="43"/>
    <w:link w:val="10"/>
    <w:qFormat/>
    <w:uiPriority w:val="0"/>
    <w:rPr>
      <w:rFonts w:ascii="Arial" w:hAnsi="Arial" w:eastAsia="黑体"/>
      <w:kern w:val="2"/>
      <w:sz w:val="21"/>
      <w:szCs w:val="21"/>
    </w:rPr>
  </w:style>
  <w:style w:type="character" w:customStyle="1" w:styleId="65">
    <w:name w:val="标题 字符"/>
    <w:link w:val="39"/>
    <w:qFormat/>
    <w:uiPriority w:val="0"/>
    <w:rPr>
      <w:rFonts w:ascii="Cambria" w:hAnsi="Cambria" w:eastAsia="方正小标宋简体"/>
      <w:bCs/>
      <w:sz w:val="60"/>
      <w:szCs w:val="32"/>
    </w:rPr>
  </w:style>
  <w:style w:type="character" w:customStyle="1" w:styleId="66">
    <w:name w:val="批注框文本 字符"/>
    <w:basedOn w:val="43"/>
    <w:link w:val="25"/>
    <w:qFormat/>
    <w:uiPriority w:val="0"/>
    <w:rPr>
      <w:kern w:val="2"/>
      <w:sz w:val="18"/>
      <w:szCs w:val="18"/>
    </w:rPr>
  </w:style>
  <w:style w:type="character" w:customStyle="1" w:styleId="67">
    <w:name w:val="标题 字符1"/>
    <w:basedOn w:val="43"/>
    <w:qFormat/>
    <w:uiPriority w:val="0"/>
    <w:rPr>
      <w:rFonts w:asciiTheme="majorHAnsi" w:hAnsiTheme="majorHAnsi" w:eastAsiaTheme="majorEastAsia" w:cstheme="majorBidi"/>
      <w:b/>
      <w:bCs/>
      <w:kern w:val="2"/>
      <w:sz w:val="32"/>
      <w:szCs w:val="32"/>
    </w:rPr>
  </w:style>
  <w:style w:type="character" w:customStyle="1" w:styleId="68">
    <w:name w:val="批注文字 字符"/>
    <w:basedOn w:val="43"/>
    <w:link w:val="14"/>
    <w:qFormat/>
    <w:uiPriority w:val="0"/>
    <w:rPr>
      <w:kern w:val="2"/>
      <w:sz w:val="21"/>
      <w:szCs w:val="24"/>
      <w:lang w:val="zh-CN" w:eastAsia="zh-CN"/>
    </w:rPr>
  </w:style>
  <w:style w:type="character" w:customStyle="1" w:styleId="69">
    <w:name w:val="日期 字符"/>
    <w:basedOn w:val="43"/>
    <w:link w:val="22"/>
    <w:qFormat/>
    <w:uiPriority w:val="0"/>
    <w:rPr>
      <w:kern w:val="2"/>
      <w:sz w:val="21"/>
      <w:szCs w:val="24"/>
    </w:rPr>
  </w:style>
  <w:style w:type="character" w:customStyle="1" w:styleId="70">
    <w:name w:val="文档结构图 字符"/>
    <w:basedOn w:val="43"/>
    <w:link w:val="13"/>
    <w:qFormat/>
    <w:uiPriority w:val="0"/>
    <w:rPr>
      <w:kern w:val="2"/>
      <w:sz w:val="21"/>
      <w:szCs w:val="24"/>
      <w:shd w:val="clear" w:color="auto" w:fill="000080"/>
    </w:rPr>
  </w:style>
  <w:style w:type="character" w:customStyle="1" w:styleId="71">
    <w:name w:val="正文文本 2 字符"/>
    <w:basedOn w:val="43"/>
    <w:link w:val="36"/>
    <w:qFormat/>
    <w:uiPriority w:val="0"/>
    <w:rPr>
      <w:kern w:val="2"/>
      <w:sz w:val="21"/>
      <w:szCs w:val="24"/>
      <w:lang w:val="zh-CN" w:eastAsia="zh-CN"/>
    </w:rPr>
  </w:style>
  <w:style w:type="paragraph" w:customStyle="1" w:styleId="72">
    <w:name w:val="列出段落1"/>
    <w:basedOn w:val="1"/>
    <w:qFormat/>
    <w:uiPriority w:val="0"/>
    <w:pPr>
      <w:ind w:firstLine="420"/>
    </w:pPr>
  </w:style>
  <w:style w:type="paragraph" w:customStyle="1" w:styleId="73">
    <w:name w:val="样式1"/>
    <w:basedOn w:val="1"/>
    <w:qFormat/>
    <w:uiPriority w:val="0"/>
  </w:style>
  <w:style w:type="paragraph" w:customStyle="1" w:styleId="74">
    <w:name w:val="表题"/>
    <w:basedOn w:val="1"/>
    <w:qFormat/>
    <w:uiPriority w:val="0"/>
    <w:pPr>
      <w:spacing w:before="155" w:after="40" w:line="310" w:lineRule="atLeast"/>
      <w:jc w:val="center"/>
    </w:pPr>
    <w:rPr>
      <w:rFonts w:ascii="Arial" w:hAnsi="Arial" w:eastAsia="黑体"/>
      <w:szCs w:val="20"/>
    </w:rPr>
  </w:style>
  <w:style w:type="character" w:customStyle="1" w:styleId="75">
    <w:name w:val="批注主题 字符"/>
    <w:basedOn w:val="68"/>
    <w:link w:val="40"/>
    <w:qFormat/>
    <w:uiPriority w:val="0"/>
    <w:rPr>
      <w:b/>
      <w:bCs/>
      <w:kern w:val="2"/>
      <w:sz w:val="21"/>
      <w:szCs w:val="24"/>
      <w:lang w:val="zh-CN" w:eastAsia="zh-CN"/>
    </w:rPr>
  </w:style>
  <w:style w:type="character" w:customStyle="1" w:styleId="76">
    <w:name w:val="脚注文本 字符"/>
    <w:basedOn w:val="43"/>
    <w:link w:val="31"/>
    <w:qFormat/>
    <w:uiPriority w:val="0"/>
    <w:rPr>
      <w:kern w:val="2"/>
      <w:sz w:val="18"/>
      <w:szCs w:val="18"/>
      <w:lang w:val="zh-CN" w:eastAsia="zh-CN"/>
    </w:rPr>
  </w:style>
  <w:style w:type="table" w:customStyle="1" w:styleId="77">
    <w:name w:val="网格表 1 浅色 - 着色 51"/>
    <w:basedOn w:val="41"/>
    <w:qFormat/>
    <w:uiPriority w:val="46"/>
    <w:rPr>
      <w:rFonts w:ascii="Calibri" w:hAnsi="Calibri"/>
      <w:kern w:val="2"/>
      <w:sz w:val="21"/>
      <w:szCs w:val="22"/>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b/>
        <w:bCs/>
      </w:rPr>
      <w:tcPr>
        <w:tcBorders>
          <w:bottom w:val="single" w:color="92CDDC" w:sz="12" w:space="0"/>
        </w:tcBorders>
      </w:tcPr>
    </w:tblStylePr>
    <w:tblStylePr w:type="lastRow">
      <w:rPr>
        <w:b/>
        <w:bCs/>
      </w:rPr>
      <w:tcPr>
        <w:tcBorders>
          <w:top w:val="double" w:color="92CDDC" w:sz="2" w:space="0"/>
        </w:tcBorders>
      </w:tcPr>
    </w:tblStylePr>
    <w:tblStylePr w:type="firstCol">
      <w:rPr>
        <w:b/>
        <w:bCs/>
      </w:rPr>
    </w:tblStylePr>
    <w:tblStylePr w:type="lastCol">
      <w:rPr>
        <w:b/>
        <w:bCs/>
      </w:rPr>
    </w:tblStylePr>
  </w:style>
  <w:style w:type="character" w:customStyle="1" w:styleId="78">
    <w:name w:val="尾注文本 字符"/>
    <w:basedOn w:val="43"/>
    <w:link w:val="24"/>
    <w:semiHidden/>
    <w:qFormat/>
    <w:uiPriority w:val="0"/>
    <w:rPr>
      <w:kern w:val="2"/>
      <w:sz w:val="21"/>
      <w:szCs w:val="24"/>
    </w:rPr>
  </w:style>
  <w:style w:type="paragraph" w:customStyle="1" w:styleId="79">
    <w:name w:val="Char"/>
    <w:basedOn w:val="1"/>
    <w:qFormat/>
    <w:uiPriority w:val="0"/>
    <w:rPr>
      <w:rFonts w:eastAsia="仿宋_GB2312"/>
      <w:szCs w:val="32"/>
    </w:rPr>
  </w:style>
  <w:style w:type="character" w:customStyle="1" w:styleId="80">
    <w:name w:val="正文文本 字符"/>
    <w:basedOn w:val="43"/>
    <w:link w:val="15"/>
    <w:qFormat/>
    <w:uiPriority w:val="99"/>
    <w:rPr>
      <w:rFonts w:asciiTheme="minorHAnsi" w:hAnsiTheme="minorHAnsi" w:eastAsiaTheme="minorEastAsia" w:cstheme="minorBidi"/>
      <w:kern w:val="2"/>
      <w:sz w:val="21"/>
      <w:szCs w:val="22"/>
    </w:rPr>
  </w:style>
  <w:style w:type="character" w:customStyle="1" w:styleId="81">
    <w:name w:val="正文文本缩进 字符"/>
    <w:basedOn w:val="43"/>
    <w:link w:val="16"/>
    <w:qFormat/>
    <w:uiPriority w:val="0"/>
    <w:rPr>
      <w:rFonts w:eastAsia="楷体_GB2312"/>
      <w:kern w:val="2"/>
      <w:sz w:val="32"/>
    </w:rPr>
  </w:style>
  <w:style w:type="character" w:customStyle="1" w:styleId="82">
    <w:name w:val="正文文本缩进 2 字符"/>
    <w:basedOn w:val="43"/>
    <w:link w:val="23"/>
    <w:qFormat/>
    <w:uiPriority w:val="0"/>
    <w:rPr>
      <w:rFonts w:ascii="宋体" w:hAnsi="宋体" w:cs="宋体"/>
      <w:sz w:val="24"/>
      <w:szCs w:val="24"/>
    </w:rPr>
  </w:style>
  <w:style w:type="character" w:customStyle="1" w:styleId="83">
    <w:name w:val="正文文本缩进 3 字符"/>
    <w:basedOn w:val="43"/>
    <w:link w:val="33"/>
    <w:qFormat/>
    <w:uiPriority w:val="0"/>
    <w:rPr>
      <w:kern w:val="2"/>
      <w:sz w:val="24"/>
    </w:rPr>
  </w:style>
  <w:style w:type="character" w:customStyle="1" w:styleId="84">
    <w:name w:val="HTML 预设格式 字符"/>
    <w:basedOn w:val="43"/>
    <w:link w:val="37"/>
    <w:qFormat/>
    <w:uiPriority w:val="0"/>
    <w:rPr>
      <w:rFonts w:ascii="宋体" w:hAnsi="宋体" w:cs="宋体"/>
      <w:sz w:val="24"/>
      <w:szCs w:val="24"/>
    </w:rPr>
  </w:style>
  <w:style w:type="character" w:customStyle="1" w:styleId="85">
    <w:name w:val="标题 1 字符1"/>
    <w:basedOn w:val="43"/>
    <w:link w:val="2"/>
    <w:qFormat/>
    <w:uiPriority w:val="9"/>
    <w:rPr>
      <w:rFonts w:eastAsia="黑体" w:asciiTheme="minorHAnsi" w:hAnsiTheme="minorHAnsi" w:cstheme="minorBidi"/>
      <w:bCs/>
      <w:kern w:val="44"/>
      <w:sz w:val="36"/>
      <w:szCs w:val="44"/>
    </w:rPr>
  </w:style>
  <w:style w:type="paragraph" w:customStyle="1" w:styleId="86">
    <w:name w:val="a"/>
    <w:basedOn w:val="1"/>
    <w:qFormat/>
    <w:uiPriority w:val="0"/>
    <w:pPr>
      <w:widowControl/>
      <w:spacing w:before="100" w:beforeAutospacing="1" w:after="100" w:afterAutospacing="1"/>
      <w:jc w:val="left"/>
    </w:pPr>
    <w:rPr>
      <w:rFonts w:ascii="宋体" w:hAnsi="宋体" w:cs="宋体"/>
      <w:kern w:val="0"/>
    </w:rPr>
  </w:style>
  <w:style w:type="paragraph" w:customStyle="1" w:styleId="87">
    <w:name w:val="自定义正文 Char Char"/>
    <w:basedOn w:val="1"/>
    <w:next w:val="1"/>
    <w:qFormat/>
    <w:uiPriority w:val="0"/>
    <w:pPr>
      <w:widowControl/>
      <w:spacing w:line="560" w:lineRule="exact"/>
      <w:ind w:firstLine="560"/>
    </w:pPr>
    <w:rPr>
      <w:rFonts w:ascii="宋体" w:hAnsi="宋体"/>
      <w:sz w:val="28"/>
      <w:szCs w:val="28"/>
    </w:rPr>
  </w:style>
  <w:style w:type="paragraph" w:customStyle="1" w:styleId="88">
    <w:name w:val="表格标题"/>
    <w:basedOn w:val="1"/>
    <w:qFormat/>
    <w:uiPriority w:val="0"/>
    <w:pPr>
      <w:jc w:val="center"/>
      <w:outlineLvl w:val="1"/>
    </w:pPr>
    <w:rPr>
      <w:b/>
    </w:rPr>
  </w:style>
  <w:style w:type="paragraph" w:customStyle="1" w:styleId="89">
    <w:name w:val="表内容"/>
    <w:basedOn w:val="1"/>
    <w:qFormat/>
    <w:uiPriority w:val="0"/>
    <w:pPr>
      <w:spacing w:line="310" w:lineRule="atLeast"/>
      <w:jc w:val="center"/>
    </w:pPr>
    <w:rPr>
      <w:sz w:val="18"/>
      <w:szCs w:val="20"/>
    </w:rPr>
  </w:style>
  <w:style w:type="paragraph" w:customStyle="1" w:styleId="90">
    <w:name w:val="图内文字"/>
    <w:basedOn w:val="1"/>
    <w:qFormat/>
    <w:uiPriority w:val="0"/>
    <w:pPr>
      <w:spacing w:line="0" w:lineRule="atLeast"/>
      <w:jc w:val="center"/>
    </w:pPr>
    <w:rPr>
      <w:b/>
      <w:sz w:val="18"/>
    </w:rPr>
  </w:style>
  <w:style w:type="paragraph" w:customStyle="1" w:styleId="91">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2">
    <w:name w:val="批注框文本 Char1"/>
    <w:basedOn w:val="43"/>
    <w:qFormat/>
    <w:uiPriority w:val="0"/>
    <w:rPr>
      <w:sz w:val="18"/>
      <w:szCs w:val="18"/>
    </w:rPr>
  </w:style>
  <w:style w:type="character" w:customStyle="1" w:styleId="93">
    <w:name w:val="wp_visitcount"/>
    <w:basedOn w:val="43"/>
    <w:qFormat/>
    <w:uiPriority w:val="0"/>
  </w:style>
  <w:style w:type="paragraph" w:customStyle="1" w:styleId="94">
    <w:name w:val="一、"/>
    <w:basedOn w:val="1"/>
    <w:qFormat/>
    <w:uiPriority w:val="0"/>
    <w:pPr>
      <w:jc w:val="center"/>
    </w:pPr>
    <w:rPr>
      <w:sz w:val="18"/>
      <w:szCs w:val="20"/>
    </w:rPr>
  </w:style>
  <w:style w:type="character" w:customStyle="1" w:styleId="95">
    <w:name w:val="标题 Char1"/>
    <w:basedOn w:val="43"/>
    <w:qFormat/>
    <w:uiPriority w:val="10"/>
    <w:rPr>
      <w:rFonts w:eastAsia="宋体" w:asciiTheme="majorHAnsi" w:hAnsiTheme="majorHAnsi" w:cstheme="majorBidi"/>
      <w:b/>
      <w:bCs/>
      <w:sz w:val="32"/>
      <w:szCs w:val="32"/>
    </w:rPr>
  </w:style>
  <w:style w:type="character" w:customStyle="1" w:styleId="96">
    <w:name w:val="正文文本 Char1"/>
    <w:qFormat/>
    <w:uiPriority w:val="0"/>
    <w:rPr>
      <w:kern w:val="2"/>
      <w:sz w:val="21"/>
      <w:szCs w:val="24"/>
    </w:rPr>
  </w:style>
  <w:style w:type="paragraph" w:customStyle="1" w:styleId="97">
    <w:name w:val="样式一"/>
    <w:basedOn w:val="20"/>
    <w:qFormat/>
    <w:uiPriority w:val="0"/>
    <w:pPr>
      <w:tabs>
        <w:tab w:val="left" w:pos="1117"/>
      </w:tabs>
      <w:ind w:left="420" w:hanging="420"/>
      <w:jc w:val="left"/>
    </w:pPr>
    <w:rPr>
      <w:rFonts w:hint="default" w:cs="Times New Roman"/>
      <w:szCs w:val="20"/>
    </w:rPr>
  </w:style>
  <w:style w:type="paragraph" w:customStyle="1" w:styleId="98">
    <w:name w:val="样式5"/>
    <w:basedOn w:val="1"/>
    <w:qFormat/>
    <w:uiPriority w:val="0"/>
    <w:pPr>
      <w:spacing w:line="310" w:lineRule="atLeast"/>
      <w:ind w:firstLine="425"/>
    </w:pPr>
    <w:rPr>
      <w:rFonts w:ascii="Arial" w:hAnsi="Arial" w:eastAsia="黑体"/>
      <w:szCs w:val="20"/>
    </w:rPr>
  </w:style>
  <w:style w:type="paragraph" w:customStyle="1" w:styleId="99">
    <w:name w:val="样式3"/>
    <w:basedOn w:val="1"/>
    <w:qFormat/>
    <w:uiPriority w:val="0"/>
    <w:pPr>
      <w:spacing w:line="720" w:lineRule="auto"/>
      <w:jc w:val="center"/>
    </w:pPr>
    <w:rPr>
      <w:rFonts w:eastAsia="黑体"/>
      <w:sz w:val="28"/>
      <w:szCs w:val="20"/>
    </w:rPr>
  </w:style>
  <w:style w:type="paragraph" w:customStyle="1" w:styleId="100">
    <w:name w:val="正文5"/>
    <w:basedOn w:val="1"/>
    <w:qFormat/>
    <w:uiPriority w:val="0"/>
    <w:pPr>
      <w:numPr>
        <w:ilvl w:val="0"/>
        <w:numId w:val="1"/>
      </w:numPr>
      <w:tabs>
        <w:tab w:val="clear" w:pos="1140"/>
      </w:tabs>
      <w:ind w:firstLine="0"/>
    </w:pPr>
    <w:rPr>
      <w:szCs w:val="20"/>
    </w:rPr>
  </w:style>
  <w:style w:type="paragraph" w:customStyle="1" w:styleId="101">
    <w:name w:val="1、"/>
    <w:basedOn w:val="1"/>
    <w:qFormat/>
    <w:uiPriority w:val="0"/>
    <w:pPr>
      <w:tabs>
        <w:tab w:val="left" w:pos="1140"/>
      </w:tabs>
      <w:ind w:left="360" w:hanging="360"/>
    </w:pPr>
    <w:rPr>
      <w:szCs w:val="20"/>
    </w:rPr>
  </w:style>
  <w:style w:type="paragraph" w:customStyle="1" w:styleId="102">
    <w:name w:val="小四仿"/>
    <w:basedOn w:val="1"/>
    <w:qFormat/>
    <w:uiPriority w:val="0"/>
    <w:pPr>
      <w:spacing w:before="155" w:line="310" w:lineRule="atLeast"/>
      <w:jc w:val="center"/>
    </w:pPr>
    <w:rPr>
      <w:rFonts w:eastAsia="仿宋_GB2312"/>
      <w:szCs w:val="20"/>
    </w:rPr>
  </w:style>
  <w:style w:type="paragraph" w:customStyle="1" w:styleId="103">
    <w:name w:val="样式4"/>
    <w:basedOn w:val="1"/>
    <w:qFormat/>
    <w:uiPriority w:val="0"/>
    <w:pPr>
      <w:tabs>
        <w:tab w:val="left" w:pos="418"/>
      </w:tabs>
      <w:spacing w:line="720" w:lineRule="auto"/>
      <w:jc w:val="center"/>
    </w:pPr>
    <w:rPr>
      <w:rFonts w:eastAsia="楷体_GB2312"/>
      <w:sz w:val="28"/>
      <w:szCs w:val="20"/>
    </w:rPr>
  </w:style>
  <w:style w:type="paragraph" w:customStyle="1" w:styleId="104">
    <w:name w:val="p0"/>
    <w:basedOn w:val="1"/>
    <w:qFormat/>
    <w:uiPriority w:val="0"/>
    <w:pPr>
      <w:widowControl/>
      <w:spacing w:before="100" w:beforeAutospacing="1" w:after="100" w:afterAutospacing="1"/>
      <w:jc w:val="left"/>
    </w:pPr>
    <w:rPr>
      <w:rFonts w:ascii="宋体" w:hAnsi="宋体" w:cs="宋体"/>
      <w:kern w:val="0"/>
    </w:rPr>
  </w:style>
  <w:style w:type="paragraph" w:customStyle="1" w:styleId="105">
    <w:name w:val="样式2"/>
    <w:basedOn w:val="1"/>
    <w:qFormat/>
    <w:uiPriority w:val="0"/>
    <w:pPr>
      <w:spacing w:line="310" w:lineRule="atLeast"/>
      <w:jc w:val="center"/>
    </w:pPr>
    <w:rPr>
      <w:rFonts w:ascii="方正大标宋简体" w:eastAsia="方正大标宋简体"/>
      <w:sz w:val="36"/>
      <w:szCs w:val="20"/>
    </w:rPr>
  </w:style>
  <w:style w:type="paragraph" w:customStyle="1" w:styleId="106">
    <w:name w:val="图"/>
    <w:basedOn w:val="1"/>
    <w:qFormat/>
    <w:uiPriority w:val="0"/>
    <w:pPr>
      <w:spacing w:before="155" w:line="310" w:lineRule="atLeast"/>
      <w:jc w:val="center"/>
    </w:pPr>
    <w:rPr>
      <w:szCs w:val="20"/>
    </w:rPr>
  </w:style>
  <w:style w:type="paragraph" w:customStyle="1" w:styleId="107">
    <w:name w:val="仿"/>
    <w:basedOn w:val="1"/>
    <w:qFormat/>
    <w:uiPriority w:val="0"/>
    <w:pPr>
      <w:spacing w:line="310" w:lineRule="atLeast"/>
      <w:jc w:val="center"/>
    </w:pPr>
    <w:rPr>
      <w:rFonts w:eastAsia="仿宋_GB2312"/>
      <w:szCs w:val="20"/>
    </w:rPr>
  </w:style>
  <w:style w:type="paragraph" w:customStyle="1" w:styleId="108">
    <w:name w:val="y"/>
    <w:basedOn w:val="12"/>
    <w:qFormat/>
    <w:uiPriority w:val="0"/>
    <w:pPr>
      <w:tabs>
        <w:tab w:val="left" w:pos="2940"/>
      </w:tabs>
      <w:ind w:left="-107" w:firstLine="421"/>
    </w:pPr>
    <w:rPr>
      <w:rFonts w:ascii="宋体" w:hAnsi="宋体"/>
    </w:rPr>
  </w:style>
  <w:style w:type="paragraph" w:customStyle="1" w:styleId="109">
    <w:name w:val="about1"/>
    <w:basedOn w:val="1"/>
    <w:qFormat/>
    <w:uiPriority w:val="0"/>
    <w:pPr>
      <w:widowControl/>
      <w:spacing w:before="100" w:beforeAutospacing="1" w:after="100" w:afterAutospacing="1" w:line="330" w:lineRule="atLeast"/>
      <w:jc w:val="left"/>
    </w:pPr>
    <w:rPr>
      <w:rFonts w:ascii="宋体" w:hAnsi="宋体" w:cs="宋体"/>
      <w:color w:val="333333"/>
      <w:kern w:val="0"/>
    </w:rPr>
  </w:style>
  <w:style w:type="paragraph" w:customStyle="1" w:styleId="110">
    <w:name w:val="章标题"/>
    <w:next w:val="1"/>
    <w:qFormat/>
    <w:uiPriority w:val="0"/>
    <w:pPr>
      <w:tabs>
        <w:tab w:val="left" w:pos="1020"/>
        <w:tab w:val="left" w:pos="1117"/>
      </w:tabs>
      <w:spacing w:beforeLines="50" w:afterLines="50"/>
      <w:ind w:left="1020" w:hanging="420"/>
      <w:jc w:val="both"/>
      <w:outlineLvl w:val="1"/>
    </w:pPr>
    <w:rPr>
      <w:rFonts w:hint="eastAsia" w:ascii="黑体" w:hAnsi="Times New Roman" w:eastAsia="黑体" w:cs="Times New Roman"/>
      <w:sz w:val="21"/>
      <w:lang w:val="en-US" w:eastAsia="zh-CN" w:bidi="ar-SA"/>
    </w:rPr>
  </w:style>
  <w:style w:type="paragraph" w:customStyle="1" w:styleId="111">
    <w:name w:val="Char1 Char Char Char3"/>
    <w:basedOn w:val="1"/>
    <w:qFormat/>
    <w:uiPriority w:val="0"/>
    <w:pPr>
      <w:widowControl/>
      <w:spacing w:after="160" w:line="240" w:lineRule="exact"/>
      <w:jc w:val="left"/>
    </w:pPr>
    <w:rPr>
      <w:szCs w:val="20"/>
    </w:rPr>
  </w:style>
  <w:style w:type="character" w:customStyle="1" w:styleId="112">
    <w:name w:val="headline-content2"/>
    <w:qFormat/>
    <w:uiPriority w:val="0"/>
  </w:style>
  <w:style w:type="paragraph" w:customStyle="1" w:styleId="113">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Cs w:val="28"/>
    </w:rPr>
  </w:style>
  <w:style w:type="paragraph" w:customStyle="1" w:styleId="114">
    <w:name w:val="6"/>
    <w:basedOn w:val="1"/>
    <w:link w:val="115"/>
    <w:qFormat/>
    <w:uiPriority w:val="0"/>
    <w:pPr>
      <w:ind w:firstLine="360"/>
    </w:pPr>
    <w:rPr>
      <w:rFonts w:ascii="宋体" w:hAnsi="宋体"/>
      <w:sz w:val="18"/>
      <w:szCs w:val="18"/>
    </w:rPr>
  </w:style>
  <w:style w:type="character" w:customStyle="1" w:styleId="115">
    <w:name w:val="6 Char"/>
    <w:link w:val="114"/>
    <w:qFormat/>
    <w:uiPriority w:val="0"/>
    <w:rPr>
      <w:rFonts w:ascii="宋体" w:hAnsi="宋体"/>
      <w:kern w:val="2"/>
      <w:sz w:val="18"/>
      <w:szCs w:val="18"/>
    </w:rPr>
  </w:style>
  <w:style w:type="paragraph" w:customStyle="1" w:styleId="116">
    <w:name w:val="正文_0"/>
    <w:qFormat/>
    <w:uiPriority w:val="0"/>
    <w:pPr>
      <w:widowControl w:val="0"/>
      <w:spacing w:line="400" w:lineRule="exact"/>
      <w:jc w:val="both"/>
    </w:pPr>
    <w:rPr>
      <w:rFonts w:ascii="Times New Roman" w:hAnsi="Times New Roman" w:eastAsia="宋体" w:cs="Times New Roman"/>
      <w:kern w:val="2"/>
      <w:sz w:val="28"/>
      <w:szCs w:val="24"/>
      <w:lang w:val="en-US" w:eastAsia="zh-CN" w:bidi="ar-SA"/>
    </w:rPr>
  </w:style>
  <w:style w:type="character" w:customStyle="1" w:styleId="117">
    <w:name w:val="pt121"/>
    <w:qFormat/>
    <w:uiPriority w:val="0"/>
    <w:rPr>
      <w:rFonts w:ascii="Times New Roman" w:hAnsi="Times New Roman"/>
      <w:sz w:val="24"/>
      <w:szCs w:val="24"/>
      <w:lang w:val="en-US" w:eastAsia="zh-CN" w:bidi="ar-SA"/>
    </w:rPr>
  </w:style>
  <w:style w:type="paragraph" w:customStyle="1" w:styleId="118">
    <w:name w:val="样式 小四 行距: 1.5 倍行距"/>
    <w:basedOn w:val="116"/>
    <w:qFormat/>
    <w:uiPriority w:val="0"/>
    <w:pPr>
      <w:spacing w:line="360" w:lineRule="auto"/>
    </w:pPr>
    <w:rPr>
      <w:rFonts w:cs="宋体"/>
      <w:sz w:val="24"/>
      <w:szCs w:val="20"/>
    </w:rPr>
  </w:style>
  <w:style w:type="paragraph" w:customStyle="1" w:styleId="119">
    <w:name w:val="lxj"/>
    <w:basedOn w:val="116"/>
    <w:qFormat/>
    <w:uiPriority w:val="0"/>
    <w:pPr>
      <w:widowControl/>
      <w:wordWrap w:val="0"/>
      <w:spacing w:before="100" w:beforeAutospacing="1" w:after="100" w:afterAutospacing="1"/>
      <w:jc w:val="left"/>
    </w:pPr>
    <w:rPr>
      <w:rFonts w:ascii="宋体" w:hAnsi="宋体" w:cs="宋体"/>
      <w:kern w:val="0"/>
      <w:sz w:val="24"/>
    </w:rPr>
  </w:style>
  <w:style w:type="paragraph" w:customStyle="1" w:styleId="120">
    <w:name w:val="彩色列表 - 强调文字颜色 11"/>
    <w:basedOn w:val="1"/>
    <w:qFormat/>
    <w:uiPriority w:val="34"/>
    <w:pPr>
      <w:ind w:firstLine="420"/>
    </w:pPr>
    <w:rPr>
      <w:rFonts w:ascii="Calibri" w:hAnsi="Calibri"/>
      <w:szCs w:val="22"/>
    </w:rPr>
  </w:style>
  <w:style w:type="table" w:customStyle="1" w:styleId="121">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122">
    <w:name w:val="正文文本 (2)_"/>
    <w:basedOn w:val="43"/>
    <w:link w:val="123"/>
    <w:qFormat/>
    <w:uiPriority w:val="0"/>
    <w:rPr>
      <w:rFonts w:ascii="MingLiU" w:hAnsi="MingLiU" w:eastAsia="MingLiU" w:cs="MingLiU"/>
      <w:shd w:val="clear" w:color="auto" w:fill="FFFFFF"/>
    </w:rPr>
  </w:style>
  <w:style w:type="paragraph" w:customStyle="1" w:styleId="123">
    <w:name w:val="正文文本 (2)"/>
    <w:basedOn w:val="1"/>
    <w:link w:val="122"/>
    <w:qFormat/>
    <w:uiPriority w:val="0"/>
    <w:pPr>
      <w:shd w:val="clear" w:color="auto" w:fill="FFFFFF"/>
      <w:spacing w:before="240" w:after="720" w:line="0" w:lineRule="atLeast"/>
      <w:jc w:val="left"/>
    </w:pPr>
    <w:rPr>
      <w:rFonts w:ascii="MingLiU" w:hAnsi="MingLiU" w:eastAsia="MingLiU" w:cs="MingLiU"/>
      <w:kern w:val="0"/>
      <w:sz w:val="20"/>
      <w:szCs w:val="20"/>
    </w:rPr>
  </w:style>
  <w:style w:type="character" w:customStyle="1" w:styleId="124">
    <w:name w:val="正文文本 (2) + 8.5 pt"/>
    <w:basedOn w:val="122"/>
    <w:qFormat/>
    <w:uiPriority w:val="0"/>
    <w:rPr>
      <w:rFonts w:ascii="MingLiU" w:hAnsi="MingLiU" w:eastAsia="MingLiU" w:cs="MingLiU"/>
      <w:b/>
      <w:bCs/>
      <w:color w:val="000000"/>
      <w:spacing w:val="0"/>
      <w:w w:val="100"/>
      <w:position w:val="0"/>
      <w:sz w:val="17"/>
      <w:szCs w:val="17"/>
      <w:shd w:val="clear" w:color="auto" w:fill="FFFFFF"/>
      <w:lang w:val="zh-CN" w:eastAsia="zh-CN" w:bidi="zh-CN"/>
    </w:rPr>
  </w:style>
  <w:style w:type="character" w:customStyle="1" w:styleId="125">
    <w:name w:val="正文文本 (2) + 9 pt"/>
    <w:basedOn w:val="122"/>
    <w:qFormat/>
    <w:uiPriority w:val="0"/>
    <w:rPr>
      <w:rFonts w:ascii="MingLiU" w:hAnsi="MingLiU" w:eastAsia="MingLiU" w:cs="MingLiU"/>
      <w:b/>
      <w:bCs/>
      <w:color w:val="000000"/>
      <w:spacing w:val="0"/>
      <w:w w:val="100"/>
      <w:position w:val="0"/>
      <w:sz w:val="18"/>
      <w:szCs w:val="18"/>
      <w:u w:val="none"/>
      <w:shd w:val="clear" w:color="auto" w:fill="FFFFFF"/>
      <w:lang w:val="en-US" w:eastAsia="en-US" w:bidi="en-US"/>
    </w:rPr>
  </w:style>
  <w:style w:type="paragraph" w:styleId="126">
    <w:name w:val="No Spacing"/>
    <w:link w:val="127"/>
    <w:qFormat/>
    <w:uiPriority w:val="1"/>
    <w:rPr>
      <w:rFonts w:asciiTheme="minorHAnsi" w:hAnsiTheme="minorHAnsi" w:eastAsiaTheme="minorEastAsia" w:cstheme="minorBidi"/>
      <w:sz w:val="22"/>
      <w:szCs w:val="22"/>
      <w:lang w:val="en-US" w:eastAsia="zh-CN" w:bidi="ar-SA"/>
    </w:rPr>
  </w:style>
  <w:style w:type="character" w:customStyle="1" w:styleId="127">
    <w:name w:val="无间隔 字符"/>
    <w:basedOn w:val="43"/>
    <w:link w:val="126"/>
    <w:qFormat/>
    <w:uiPriority w:val="1"/>
    <w:rPr>
      <w:rFonts w:asciiTheme="minorHAnsi" w:hAnsiTheme="minorHAnsi" w:eastAsiaTheme="minorEastAsia" w:cstheme="minorBidi"/>
      <w:sz w:val="22"/>
      <w:szCs w:val="22"/>
    </w:rPr>
  </w:style>
  <w:style w:type="character" w:customStyle="1" w:styleId="128">
    <w:name w:val="标题 6 字符1"/>
    <w:qFormat/>
    <w:uiPriority w:val="0"/>
    <w:rPr>
      <w:rFonts w:ascii="Arial" w:hAnsi="Arial" w:eastAsia="黑体" w:cs="Times New Roman"/>
      <w:b/>
      <w:bCs/>
      <w:sz w:val="24"/>
      <w:szCs w:val="24"/>
    </w:rPr>
  </w:style>
  <w:style w:type="character" w:customStyle="1" w:styleId="129">
    <w:name w:val="标题 7 字符1"/>
    <w:qFormat/>
    <w:uiPriority w:val="0"/>
    <w:rPr>
      <w:rFonts w:ascii="Times New Roman" w:hAnsi="Times New Roman" w:eastAsia="宋体" w:cs="Times New Roman"/>
      <w:b/>
      <w:bCs/>
      <w:sz w:val="24"/>
      <w:szCs w:val="24"/>
    </w:rPr>
  </w:style>
  <w:style w:type="character" w:customStyle="1" w:styleId="130">
    <w:name w:val="标题 8 字符1"/>
    <w:qFormat/>
    <w:uiPriority w:val="0"/>
    <w:rPr>
      <w:rFonts w:ascii="Arial" w:hAnsi="Arial" w:eastAsia="黑体" w:cs="Times New Roman"/>
      <w:sz w:val="24"/>
      <w:szCs w:val="24"/>
    </w:rPr>
  </w:style>
  <w:style w:type="character" w:customStyle="1" w:styleId="131">
    <w:name w:val="标题 9 字符1"/>
    <w:qFormat/>
    <w:uiPriority w:val="0"/>
    <w:rPr>
      <w:rFonts w:ascii="Arial" w:hAnsi="Arial" w:eastAsia="黑体" w:cs="Times New Roman"/>
      <w:szCs w:val="21"/>
    </w:rPr>
  </w:style>
  <w:style w:type="paragraph" w:customStyle="1" w:styleId="132">
    <w:name w:val="中等深浅网格 1 - 着色 21"/>
    <w:basedOn w:val="1"/>
    <w:qFormat/>
    <w:uiPriority w:val="0"/>
    <w:pPr>
      <w:ind w:firstLine="420"/>
    </w:pPr>
    <w:rPr>
      <w:rFonts w:ascii="Calibri" w:hAnsi="Calibri"/>
      <w:szCs w:val="22"/>
    </w:rPr>
  </w:style>
  <w:style w:type="character" w:customStyle="1" w:styleId="133">
    <w:name w:val="正文文本 (2) + 间距 -1 pt"/>
    <w:basedOn w:val="122"/>
    <w:qFormat/>
    <w:uiPriority w:val="0"/>
    <w:rPr>
      <w:rFonts w:ascii="MingLiU" w:hAnsi="MingLiU" w:eastAsia="MingLiU" w:cs="MingLiU"/>
      <w:color w:val="000000"/>
      <w:spacing w:val="-20"/>
      <w:w w:val="100"/>
      <w:position w:val="0"/>
      <w:u w:val="none"/>
      <w:shd w:val="clear" w:color="auto" w:fill="FFFFFF"/>
      <w:lang w:val="zh-CN" w:eastAsia="zh-CN" w:bidi="zh-CN"/>
    </w:rPr>
  </w:style>
  <w:style w:type="character" w:customStyle="1" w:styleId="134">
    <w:name w:val="正文文本 (2) + 7.5 pt"/>
    <w:basedOn w:val="122"/>
    <w:qFormat/>
    <w:uiPriority w:val="0"/>
    <w:rPr>
      <w:rFonts w:ascii="MingLiU" w:hAnsi="MingLiU" w:eastAsia="MingLiU" w:cs="MingLiU"/>
      <w:color w:val="000000"/>
      <w:spacing w:val="0"/>
      <w:w w:val="100"/>
      <w:position w:val="0"/>
      <w:sz w:val="15"/>
      <w:szCs w:val="15"/>
      <w:u w:val="none"/>
      <w:shd w:val="clear" w:color="auto" w:fill="FFFFFF"/>
      <w:lang w:val="zh-CN" w:eastAsia="zh-CN" w:bidi="zh-CN"/>
    </w:rPr>
  </w:style>
  <w:style w:type="character" w:customStyle="1" w:styleId="135">
    <w:name w:val="正文文本 (6) + 9 pt"/>
    <w:basedOn w:val="43"/>
    <w:qFormat/>
    <w:uiPriority w:val="0"/>
    <w:rPr>
      <w:rFonts w:ascii="MingLiU" w:hAnsi="MingLiU" w:eastAsia="MingLiU" w:cs="MingLiU"/>
      <w:b/>
      <w:bCs/>
      <w:color w:val="000000"/>
      <w:spacing w:val="0"/>
      <w:w w:val="100"/>
      <w:position w:val="0"/>
      <w:sz w:val="18"/>
      <w:szCs w:val="18"/>
      <w:u w:val="none"/>
      <w:lang w:val="en-US" w:eastAsia="en-US" w:bidi="en-US"/>
    </w:rPr>
  </w:style>
  <w:style w:type="character" w:customStyle="1" w:styleId="136">
    <w:name w:val="标题 2 Char"/>
    <w:qFormat/>
    <w:uiPriority w:val="0"/>
    <w:rPr>
      <w:rFonts w:ascii="Arial" w:hAnsi="Arial" w:eastAsia="黑体"/>
      <w:b/>
      <w:bCs/>
      <w:kern w:val="2"/>
      <w:sz w:val="32"/>
      <w:szCs w:val="32"/>
      <w:lang w:bidi="ar-SA"/>
    </w:rPr>
  </w:style>
  <w:style w:type="character" w:customStyle="1" w:styleId="137">
    <w:name w:val="标题 3 Char"/>
    <w:qFormat/>
    <w:uiPriority w:val="0"/>
    <w:rPr>
      <w:b/>
      <w:bCs/>
      <w:kern w:val="2"/>
      <w:sz w:val="32"/>
      <w:szCs w:val="32"/>
    </w:rPr>
  </w:style>
  <w:style w:type="character" w:customStyle="1" w:styleId="138">
    <w:name w:val="标题 4 Char"/>
    <w:qFormat/>
    <w:uiPriority w:val="0"/>
    <w:rPr>
      <w:rFonts w:ascii="Arial" w:hAnsi="Arial" w:eastAsia="黑体"/>
      <w:b/>
      <w:bCs/>
      <w:kern w:val="2"/>
      <w:sz w:val="28"/>
      <w:szCs w:val="28"/>
    </w:rPr>
  </w:style>
  <w:style w:type="character" w:customStyle="1" w:styleId="139">
    <w:name w:val="标题 5 Char"/>
    <w:qFormat/>
    <w:uiPriority w:val="0"/>
    <w:rPr>
      <w:b/>
      <w:bCs/>
      <w:kern w:val="2"/>
      <w:sz w:val="28"/>
      <w:szCs w:val="28"/>
    </w:rPr>
  </w:style>
  <w:style w:type="character" w:customStyle="1" w:styleId="140">
    <w:name w:val="标题 Char"/>
    <w:qFormat/>
    <w:uiPriority w:val="0"/>
    <w:rPr>
      <w:rFonts w:ascii="Cambria" w:hAnsi="Cambria" w:eastAsia="宋体"/>
      <w:b/>
      <w:bCs/>
      <w:kern w:val="2"/>
      <w:sz w:val="32"/>
      <w:szCs w:val="32"/>
      <w:lang w:val="en-US" w:eastAsia="zh-CN" w:bidi="ar-SA"/>
    </w:rPr>
  </w:style>
  <w:style w:type="character" w:customStyle="1" w:styleId="141">
    <w:name w:val="批注文字 字符1"/>
    <w:qFormat/>
    <w:uiPriority w:val="0"/>
    <w:rPr>
      <w:rFonts w:ascii="Times New Roman" w:hAnsi="Times New Roman" w:eastAsia="宋体" w:cs="Times New Roman"/>
      <w:szCs w:val="24"/>
    </w:rPr>
  </w:style>
  <w:style w:type="character" w:customStyle="1" w:styleId="142">
    <w:name w:val="页眉 Char"/>
    <w:qFormat/>
    <w:uiPriority w:val="0"/>
    <w:rPr>
      <w:kern w:val="2"/>
      <w:sz w:val="18"/>
      <w:szCs w:val="18"/>
    </w:rPr>
  </w:style>
  <w:style w:type="character" w:customStyle="1" w:styleId="143">
    <w:name w:val="纯文本 字符1"/>
    <w:qFormat/>
    <w:uiPriority w:val="0"/>
    <w:rPr>
      <w:rFonts w:ascii="Courier New" w:hAnsi="Courier New" w:eastAsia="楷体_GB2312" w:cs="Times New Roman"/>
      <w:sz w:val="24"/>
      <w:szCs w:val="20"/>
    </w:rPr>
  </w:style>
  <w:style w:type="character" w:customStyle="1" w:styleId="144">
    <w:name w:val="正文文本 字符1"/>
    <w:qFormat/>
    <w:uiPriority w:val="0"/>
    <w:rPr>
      <w:szCs w:val="24"/>
    </w:rPr>
  </w:style>
  <w:style w:type="character" w:customStyle="1" w:styleId="145">
    <w:name w:val="正文文本缩进 3 字符1"/>
    <w:qFormat/>
    <w:uiPriority w:val="0"/>
    <w:rPr>
      <w:rFonts w:ascii="Times New Roman" w:hAnsi="Times New Roman" w:eastAsia="宋体" w:cs="Times New Roman"/>
      <w:sz w:val="24"/>
      <w:szCs w:val="20"/>
    </w:rPr>
  </w:style>
  <w:style w:type="character" w:customStyle="1" w:styleId="146">
    <w:name w:val="HTML 预设格式 字符1"/>
    <w:qFormat/>
    <w:uiPriority w:val="0"/>
    <w:rPr>
      <w:rFonts w:ascii="宋体" w:hAnsi="宋体" w:eastAsia="宋体" w:cs="宋体"/>
      <w:kern w:val="0"/>
      <w:sz w:val="24"/>
      <w:szCs w:val="24"/>
    </w:rPr>
  </w:style>
  <w:style w:type="character" w:customStyle="1" w:styleId="147">
    <w:name w:val="脚注文本 字符1"/>
    <w:qFormat/>
    <w:uiPriority w:val="0"/>
    <w:rPr>
      <w:rFonts w:ascii="Times New Roman" w:hAnsi="Times New Roman" w:eastAsia="宋体" w:cs="Times New Roman"/>
      <w:sz w:val="18"/>
      <w:szCs w:val="20"/>
    </w:rPr>
  </w:style>
  <w:style w:type="character" w:customStyle="1" w:styleId="148">
    <w:name w:val="正文文本缩进 字符1"/>
    <w:qFormat/>
    <w:uiPriority w:val="0"/>
    <w:rPr>
      <w:rFonts w:ascii="Times New Roman" w:hAnsi="Times New Roman" w:eastAsia="楷体_GB2312" w:cs="Times New Roman"/>
      <w:sz w:val="32"/>
      <w:szCs w:val="20"/>
    </w:rPr>
  </w:style>
  <w:style w:type="character" w:customStyle="1" w:styleId="149">
    <w:name w:val="正文文本缩进 2 字符1"/>
    <w:qFormat/>
    <w:uiPriority w:val="0"/>
    <w:rPr>
      <w:rFonts w:ascii="Times New Roman" w:hAnsi="Times New Roman" w:eastAsia="宋体" w:cs="Times New Roman"/>
      <w:sz w:val="24"/>
      <w:szCs w:val="20"/>
    </w:rPr>
  </w:style>
  <w:style w:type="paragraph" w:customStyle="1" w:styleId="150">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376092" w:themeColor="accent1" w:themeShade="BF"/>
      <w:kern w:val="0"/>
      <w:sz w:val="32"/>
      <w:szCs w:val="32"/>
    </w:rPr>
  </w:style>
  <w:style w:type="paragraph" w:customStyle="1" w:styleId="151">
    <w:name w:val="标题3"/>
    <w:basedOn w:val="3"/>
    <w:link w:val="152"/>
    <w:qFormat/>
    <w:uiPriority w:val="0"/>
    <w:rPr>
      <w:rFonts w:ascii="宋体" w:hAnsi="宋体"/>
    </w:rPr>
  </w:style>
  <w:style w:type="character" w:customStyle="1" w:styleId="152">
    <w:name w:val="标题3 字符"/>
    <w:link w:val="151"/>
    <w:qFormat/>
    <w:uiPriority w:val="0"/>
    <w:rPr>
      <w:rFonts w:ascii="宋体" w:hAnsi="宋体"/>
      <w:b/>
      <w:bCs/>
      <w:kern w:val="2"/>
      <w:sz w:val="21"/>
      <w:szCs w:val="32"/>
      <w:lang w:val="zh-CN"/>
    </w:rPr>
  </w:style>
  <w:style w:type="table" w:customStyle="1" w:styleId="153">
    <w:name w:val="网格型1"/>
    <w:basedOn w:val="4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2"/>
    <w:basedOn w:val="4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副标题 字符"/>
    <w:basedOn w:val="43"/>
    <w:link w:val="30"/>
    <w:qFormat/>
    <w:uiPriority w:val="11"/>
    <w:rPr>
      <w:rFonts w:asciiTheme="minorHAnsi" w:hAnsiTheme="minorHAnsi" w:cstheme="minorBidi"/>
      <w:b/>
      <w:bCs/>
      <w:kern w:val="28"/>
      <w:sz w:val="32"/>
      <w:szCs w:val="32"/>
    </w:rPr>
  </w:style>
  <w:style w:type="character" w:customStyle="1" w:styleId="156">
    <w:name w:val="bjh-p"/>
    <w:basedOn w:val="43"/>
    <w:qFormat/>
    <w:uiPriority w:val="0"/>
  </w:style>
  <w:style w:type="table" w:customStyle="1" w:styleId="157">
    <w:name w:val="网格型浅色1"/>
    <w:basedOn w:val="41"/>
    <w:qFormat/>
    <w:uiPriority w:val="40"/>
    <w:rPr>
      <w:rFonts w:asciiTheme="minorHAnsi" w:hAnsiTheme="minorHAnsi" w:eastAsiaTheme="minorEastAsia" w:cstheme="minorBidi"/>
      <w:kern w:val="2"/>
      <w:sz w:val="21"/>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58">
    <w:name w:val="无格式表格 11"/>
    <w:basedOn w:val="41"/>
    <w:qFormat/>
    <w:uiPriority w:val="41"/>
    <w:rPr>
      <w:rFonts w:asciiTheme="minorHAnsi" w:hAnsiTheme="minorHAnsi" w:eastAsiaTheme="minorEastAsia" w:cstheme="minorBidi"/>
      <w:kern w:val="2"/>
      <w:sz w:val="21"/>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59">
    <w:name w:val="网格表 1 浅色 - 着色 21"/>
    <w:basedOn w:val="41"/>
    <w:qFormat/>
    <w:uiPriority w:val="46"/>
    <w:rPr>
      <w:rFonts w:asciiTheme="minorHAnsi" w:hAnsiTheme="minorHAnsi" w:eastAsiaTheme="minorEastAsia" w:cstheme="minorBidi"/>
      <w:kern w:val="2"/>
      <w:sz w:val="21"/>
      <w:szCs w:val="22"/>
    </w:rPr>
    <w:tblPr>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2" w:space="0"/>
        </w:tcBorders>
      </w:tcPr>
    </w:tblStylePr>
    <w:tblStylePr w:type="firstCol">
      <w:rPr>
        <w:b/>
        <w:bCs/>
      </w:rPr>
    </w:tblStylePr>
    <w:tblStylePr w:type="lastCol">
      <w:rPr>
        <w:b/>
        <w:bCs/>
      </w:rPr>
    </w:tblStylePr>
  </w:style>
  <w:style w:type="table" w:customStyle="1" w:styleId="160">
    <w:name w:val="网格表 1 浅色 - 着色 31"/>
    <w:basedOn w:val="41"/>
    <w:qFormat/>
    <w:uiPriority w:val="46"/>
    <w:rPr>
      <w:rFonts w:asciiTheme="minorHAnsi" w:hAnsiTheme="minorHAnsi" w:eastAsiaTheme="minorEastAsia" w:cstheme="minorBidi"/>
      <w:kern w:val="2"/>
      <w:sz w:val="21"/>
      <w:szCs w:val="22"/>
    </w:rPr>
    <w:tblPr>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2" w:space="0"/>
        </w:tcBorders>
      </w:tcPr>
    </w:tblStylePr>
    <w:tblStylePr w:type="firstCol">
      <w:rPr>
        <w:b/>
        <w:bCs/>
      </w:rPr>
    </w:tblStylePr>
    <w:tblStylePr w:type="lastCol">
      <w:rPr>
        <w:b/>
        <w:bCs/>
      </w:rPr>
    </w:tblStylePr>
  </w:style>
  <w:style w:type="table" w:customStyle="1" w:styleId="161">
    <w:name w:val="网格表 1 浅色 - 着色 41"/>
    <w:basedOn w:val="41"/>
    <w:qFormat/>
    <w:uiPriority w:val="46"/>
    <w:rPr>
      <w:rFonts w:asciiTheme="minorHAnsi" w:hAnsiTheme="minorHAnsi" w:eastAsiaTheme="minorEastAsia" w:cstheme="minorBidi"/>
      <w:kern w:val="2"/>
      <w:sz w:val="21"/>
      <w:szCs w:val="22"/>
    </w:rPr>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paragraph" w:customStyle="1" w:styleId="162">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emf"/><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7EE8-9A55-409C-BDC1-30347282785E}">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879</Words>
  <Characters>935</Characters>
  <Lines>873</Lines>
  <Paragraphs>754</Paragraphs>
  <TotalTime>0</TotalTime>
  <ScaleCrop>false</ScaleCrop>
  <LinksUpToDate>false</LinksUpToDate>
  <CharactersWithSpaces>1045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2022-03-31T10:19:00Z</dcterms:created>
  <dc:creator>wyuan</dc:creator>
  <cp:lastModifiedBy>just do it</cp:lastModifiedBy>
  <dcterms:modified xsi:type="dcterms:W3CDTF">2025-11-10T07:21:41Z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189300361AE3369B69060269029597BA_43</vt:lpwstr>
  </property>
  <property fmtid="{D5CDD505-2E9C-101B-9397-08002B2CF9AE}" pid="4" name="KSOTemplateDocerSaveRecord">
    <vt:lpwstr>eyJoZGlkIjoiMDBiNmY5Njc1YjkxN2QzNTM4NmQyYzQ2NTViNTAzOWUiLCJ1c2VySWQiOiIzNzIxOTU4MTQifQ==</vt:lpwstr>
  </property>
</Properties>
</file>